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>PUBLICATION REF.: ____________________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</w:t>
      </w:r>
      <w:bookmarkStart w:id="0" w:name="_GoBack"/>
      <w:bookmarkEnd w:id="0"/>
      <w:r w:rsidR="001A6317" w:rsidRPr="001A6317">
        <w:rPr>
          <w:rFonts w:ascii="Times New Roman" w:hAnsi="Times New Roman"/>
          <w:sz w:val="22"/>
          <w:szCs w:val="22"/>
        </w:rPr>
        <w:t>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663956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22581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  <w:t>[</w:t>
            </w:r>
            <w:r w:rsidRPr="00663956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by lot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]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166BDF">
              <w:rPr>
                <w:rFonts w:ascii="Times New Roman" w:hAnsi="Times New Roman"/>
                <w:b/>
                <w:sz w:val="22"/>
                <w:szCs w:val="22"/>
              </w:rPr>
              <w:t>[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</w:t>
            </w:r>
            <w:r w:rsidR="00166BDF">
              <w:rPr>
                <w:rFonts w:ascii="Times New Roman" w:hAnsi="Times New Roman"/>
                <w:b/>
                <w:sz w:val="22"/>
                <w:szCs w:val="22"/>
              </w:rPr>
              <w:t xml:space="preserve">] 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[&lt;</w:t>
            </w:r>
            <w:r w:rsidR="005A0B1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ISO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code of </w:t>
            </w:r>
            <w:r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national currency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&gt; </w:t>
            </w:r>
            <w:r w:rsidR="00166BDF" w:rsidRPr="008E6333">
              <w:rPr>
                <w:rFonts w:ascii="Times New Roman" w:hAnsi="Times New Roman"/>
                <w:sz w:val="22"/>
                <w:szCs w:val="22"/>
                <w:highlight w:val="yellow"/>
              </w:rPr>
              <w:t>only for indirect management</w:t>
            </w:r>
            <w:r w:rsidR="006A11D5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  <w:r w:rsidR="006A11D5">
              <w:rPr>
                <w:rFonts w:ascii="Times New Roman" w:hAnsi="Times New Roman"/>
                <w:color w:val="000000"/>
                <w:spacing w:val="-2"/>
                <w:highlight w:val="yellow"/>
              </w:rPr>
              <w:t>in the following cases: (i) when legal or local constraints exceptionally impose using the national currency; (ii)</w:t>
            </w:r>
            <w:r w:rsidR="00886275">
              <w:rPr>
                <w:rFonts w:ascii="Times New Roman" w:hAnsi="Times New Roman"/>
                <w:highlight w:val="yellow"/>
              </w:rPr>
              <w:t xml:space="preserve"> </w:t>
            </w:r>
            <w:r w:rsidR="004B0C76">
              <w:rPr>
                <w:rFonts w:ascii="Times New Roman" w:hAnsi="Times New Roman"/>
                <w:highlight w:val="yellow"/>
              </w:rPr>
              <w:t>when needed</w:t>
            </w:r>
            <w:r w:rsidR="00886275">
              <w:rPr>
                <w:rFonts w:ascii="Times New Roman" w:hAnsi="Times New Roman"/>
                <w:highlight w:val="yellow"/>
              </w:rPr>
              <w:t xml:space="preserve">, </w:t>
            </w:r>
            <w:r w:rsidR="006A11D5">
              <w:rPr>
                <w:rFonts w:ascii="Times New Roman" w:hAnsi="Times New Roman"/>
                <w:color w:val="000000"/>
                <w:spacing w:val="-2"/>
                <w:highlight w:val="yellow"/>
              </w:rPr>
              <w:t>for contracts within the imprest component of a programme estimate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 w:rsidP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685E11">
      <w:pPr>
        <w:pStyle w:val="Annexetitle"/>
      </w:pPr>
      <w:r w:rsidRPr="00685E11">
        <w:t>Contract title:__________________________________ Publication ref.:_____________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5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6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6176C3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</w:rPr>
      </w:pPr>
      <w:r w:rsidRPr="006176C3">
        <w:rPr>
          <w:rFonts w:ascii="Times New Roman" w:hAnsi="Times New Roman"/>
          <w:b/>
          <w:caps/>
          <w:sz w:val="28"/>
        </w:rPr>
        <w:t>Publication ref.: _____________________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06" w:rsidRPr="006A5F84" w:rsidRDefault="00EA1906">
      <w:r w:rsidRPr="006A5F84">
        <w:separator/>
      </w:r>
    </w:p>
  </w:endnote>
  <w:endnote w:type="continuationSeparator" w:id="0">
    <w:p w:rsidR="00EA1906" w:rsidRPr="006A5F84" w:rsidRDefault="00EA1906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5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B36DE7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5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CF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5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B36DE7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5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5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06" w:rsidRPr="006A5F84" w:rsidRDefault="00EA1906">
      <w:r w:rsidRPr="006A5F84">
        <w:separator/>
      </w:r>
    </w:p>
  </w:footnote>
  <w:footnote w:type="continuationSeparator" w:id="0">
    <w:p w:rsidR="00EA1906" w:rsidRPr="006A5F84" w:rsidRDefault="00EA1906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E7" w:rsidRDefault="00B36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E7" w:rsidRDefault="00B36D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9271E7" w:rsidRDefault="00D90043" w:rsidP="004778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3550"/>
    <w:rsid w:val="005A0B1E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685E1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jc w:val="left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B676388-D9A4-4EA0-A934-079C9DB5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418</Words>
  <Characters>2628</Characters>
  <Application>Microsoft Office Word</Application>
  <DocSecurity>0</DocSecurity>
  <Lines>525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7</cp:revision>
  <cp:lastPrinted>2012-09-24T09:51:00Z</cp:lastPrinted>
  <dcterms:created xsi:type="dcterms:W3CDTF">2018-12-18T11:45:00Z</dcterms:created>
  <dcterms:modified xsi:type="dcterms:W3CDTF">2020-07-23T14:14:00Z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