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ACA98" w14:textId="77777777" w:rsidR="00C2718F" w:rsidRPr="00764A85" w:rsidRDefault="00C2718F" w:rsidP="00290199">
      <w:pPr>
        <w:pageBreakBefore/>
        <w:spacing w:before="120"/>
        <w:jc w:val="center"/>
        <w:rPr>
          <w:b/>
          <w:sz w:val="28"/>
          <w:szCs w:val="28"/>
        </w:rPr>
      </w:pPr>
      <w:r w:rsidRPr="00764A85">
        <w:rPr>
          <w:b/>
          <w:sz w:val="28"/>
          <w:szCs w:val="28"/>
        </w:rPr>
        <w:t>GRANT CONTRACT</w:t>
      </w:r>
    </w:p>
    <w:p w14:paraId="255B0DED" w14:textId="77777777"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3131F55F" w14:textId="77777777"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14:paraId="649F00CC" w14:textId="77777777"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42EE704B" w14:textId="77777777" w:rsidR="006A0EBA" w:rsidRPr="00764A85" w:rsidRDefault="006A0EBA" w:rsidP="00532286">
      <w:pPr>
        <w:pStyle w:val="Text2"/>
        <w:tabs>
          <w:tab w:val="clear" w:pos="2161"/>
          <w:tab w:val="left" w:pos="-1701"/>
          <w:tab w:val="left" w:pos="-1560"/>
        </w:tabs>
        <w:spacing w:before="120" w:after="0"/>
        <w:ind w:left="0"/>
        <w:jc w:val="center"/>
        <w:rPr>
          <w:b/>
          <w:sz w:val="22"/>
        </w:rPr>
      </w:pPr>
    </w:p>
    <w:p w14:paraId="43F94CDC" w14:textId="02DBF62C" w:rsidR="00443E89" w:rsidRDefault="00443E89" w:rsidP="00443E89">
      <w:pPr>
        <w:tabs>
          <w:tab w:val="left" w:pos="-1440"/>
          <w:tab w:val="left" w:pos="-720"/>
          <w:tab w:val="left" w:pos="828"/>
          <w:tab w:val="left" w:pos="1044"/>
          <w:tab w:val="left" w:pos="1260"/>
          <w:tab w:val="left" w:pos="1476"/>
          <w:tab w:val="left" w:pos="1692"/>
          <w:tab w:val="left" w:pos="2160"/>
        </w:tabs>
        <w:spacing w:before="120"/>
        <w:jc w:val="both"/>
        <w:rPr>
          <w:sz w:val="22"/>
        </w:rPr>
      </w:pPr>
      <w:r>
        <w:rPr>
          <w:sz w:val="22"/>
        </w:rPr>
        <w:t xml:space="preserve">Ministry of Finance </w:t>
      </w:r>
    </w:p>
    <w:p w14:paraId="4E0665AB" w14:textId="77777777" w:rsidR="00443E89" w:rsidRDefault="00443E89" w:rsidP="00443E89">
      <w:pPr>
        <w:tabs>
          <w:tab w:val="left" w:pos="-1440"/>
          <w:tab w:val="left" w:pos="-720"/>
          <w:tab w:val="left" w:pos="828"/>
          <w:tab w:val="left" w:pos="1044"/>
          <w:tab w:val="left" w:pos="1260"/>
          <w:tab w:val="left" w:pos="1476"/>
          <w:tab w:val="left" w:pos="1692"/>
          <w:tab w:val="left" w:pos="2160"/>
        </w:tabs>
        <w:spacing w:before="120"/>
        <w:jc w:val="both"/>
        <w:rPr>
          <w:sz w:val="22"/>
        </w:rPr>
      </w:pPr>
      <w:r>
        <w:rPr>
          <w:sz w:val="22"/>
        </w:rPr>
        <w:t>Directorate for Finance and Contracting of the EU Assistance Funds,</w:t>
      </w:r>
    </w:p>
    <w:p w14:paraId="6677317A" w14:textId="77777777" w:rsidR="00443E89" w:rsidRDefault="00443E89" w:rsidP="00443E89">
      <w:pPr>
        <w:tabs>
          <w:tab w:val="left" w:pos="-1440"/>
          <w:tab w:val="left" w:pos="-720"/>
          <w:tab w:val="left" w:pos="828"/>
          <w:tab w:val="left" w:pos="1044"/>
          <w:tab w:val="left" w:pos="1260"/>
          <w:tab w:val="left" w:pos="1476"/>
          <w:tab w:val="left" w:pos="1692"/>
          <w:tab w:val="left" w:pos="2160"/>
        </w:tabs>
        <w:spacing w:before="120"/>
        <w:jc w:val="both"/>
        <w:rPr>
          <w:sz w:val="22"/>
        </w:rPr>
      </w:pPr>
      <w:r>
        <w:rPr>
          <w:sz w:val="22"/>
        </w:rPr>
        <w:t>Stanka Dragojevića 2,</w:t>
      </w:r>
    </w:p>
    <w:p w14:paraId="05B205CB" w14:textId="77777777" w:rsidR="00443E89" w:rsidRDefault="00443E89" w:rsidP="00443E89">
      <w:pPr>
        <w:spacing w:before="120"/>
        <w:jc w:val="both"/>
        <w:rPr>
          <w:sz w:val="22"/>
        </w:rPr>
      </w:pPr>
      <w:r>
        <w:rPr>
          <w:sz w:val="22"/>
        </w:rPr>
        <w:t>81 000 Podgorica, Montenegro</w:t>
      </w:r>
    </w:p>
    <w:p w14:paraId="1994E283" w14:textId="77777777" w:rsidR="00443E89" w:rsidRPr="00D0166D" w:rsidRDefault="00443E89" w:rsidP="00443E89">
      <w:pPr>
        <w:tabs>
          <w:tab w:val="left" w:pos="-1440"/>
          <w:tab w:val="left" w:pos="-720"/>
          <w:tab w:val="left" w:pos="828"/>
          <w:tab w:val="left" w:pos="1044"/>
          <w:tab w:val="left" w:pos="1260"/>
          <w:tab w:val="left" w:pos="1476"/>
          <w:tab w:val="left" w:pos="1692"/>
          <w:tab w:val="left" w:pos="2160"/>
        </w:tabs>
        <w:spacing w:before="120"/>
        <w:jc w:val="both"/>
        <w:rPr>
          <w:sz w:val="22"/>
          <w:szCs w:val="22"/>
        </w:rPr>
      </w:pPr>
      <w:r w:rsidRPr="00D0166D">
        <w:rPr>
          <w:sz w:val="22"/>
          <w:szCs w:val="22"/>
        </w:rPr>
        <w:t>(the ‘contracting authority’)</w:t>
      </w:r>
    </w:p>
    <w:p w14:paraId="2DFAB354" w14:textId="77777777" w:rsidR="00C2718F" w:rsidRDefault="00C2718F" w:rsidP="00532286">
      <w:pPr>
        <w:tabs>
          <w:tab w:val="left" w:pos="-1701"/>
          <w:tab w:val="left" w:pos="-1560"/>
          <w:tab w:val="left" w:pos="-1440"/>
        </w:tabs>
        <w:spacing w:before="120"/>
        <w:jc w:val="right"/>
        <w:rPr>
          <w:sz w:val="22"/>
        </w:rPr>
      </w:pPr>
      <w:r w:rsidRPr="00764A85">
        <w:rPr>
          <w:sz w:val="22"/>
        </w:rPr>
        <w:t>of the one part,</w:t>
      </w:r>
    </w:p>
    <w:p w14:paraId="05BE5B1C" w14:textId="77777777" w:rsidR="006A0EBA" w:rsidRDefault="006A0EBA" w:rsidP="00532286">
      <w:pPr>
        <w:tabs>
          <w:tab w:val="left" w:pos="-1701"/>
          <w:tab w:val="left" w:pos="-1560"/>
          <w:tab w:val="left" w:pos="-1440"/>
        </w:tabs>
        <w:spacing w:before="120"/>
        <w:jc w:val="right"/>
        <w:rPr>
          <w:sz w:val="22"/>
        </w:rPr>
      </w:pPr>
    </w:p>
    <w:p w14:paraId="72BA007C" w14:textId="77777777" w:rsidR="006A0EBA" w:rsidRPr="00764A85" w:rsidRDefault="006A0EBA" w:rsidP="00532286">
      <w:pPr>
        <w:tabs>
          <w:tab w:val="left" w:pos="-1701"/>
          <w:tab w:val="left" w:pos="-1560"/>
          <w:tab w:val="left" w:pos="-1440"/>
        </w:tabs>
        <w:spacing w:before="120"/>
        <w:jc w:val="right"/>
        <w:rPr>
          <w:sz w:val="22"/>
        </w:rPr>
      </w:pPr>
    </w:p>
    <w:p w14:paraId="64B1818B" w14:textId="77777777" w:rsidR="00C2718F" w:rsidRPr="00764A85" w:rsidRDefault="00C2718F" w:rsidP="00532286">
      <w:pPr>
        <w:tabs>
          <w:tab w:val="left" w:pos="-1701"/>
          <w:tab w:val="left" w:pos="-1560"/>
          <w:tab w:val="left" w:pos="-1440"/>
        </w:tabs>
        <w:spacing w:before="120"/>
        <w:rPr>
          <w:sz w:val="22"/>
        </w:rPr>
      </w:pPr>
      <w:r w:rsidRPr="00764A85">
        <w:rPr>
          <w:sz w:val="22"/>
        </w:rPr>
        <w:t>and</w:t>
      </w:r>
    </w:p>
    <w:p w14:paraId="08C38BF0"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14:paraId="50DC32E1"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2A98C086" w14:textId="77777777"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14:paraId="411EA5E7" w14:textId="77777777"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4FCF64DC" w14:textId="77777777"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625D32DF" w14:textId="77777777" w:rsidR="00B9146B" w:rsidRPr="00764A85" w:rsidRDefault="00B9146B" w:rsidP="00C76959">
      <w:pPr>
        <w:spacing w:before="120"/>
        <w:jc w:val="both"/>
        <w:rPr>
          <w:sz w:val="22"/>
          <w:szCs w:val="22"/>
        </w:rPr>
      </w:pPr>
    </w:p>
    <w:p w14:paraId="2C7584E2" w14:textId="61911C82" w:rsidR="00284995"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D85ABF">
        <w:rPr>
          <w:sz w:val="22"/>
          <w:szCs w:val="22"/>
        </w:rPr>
        <w:t>hereinafter the</w:t>
      </w:r>
      <w:r w:rsidR="00B9146B" w:rsidRPr="00D85ABF">
        <w:rPr>
          <w:sz w:val="22"/>
          <w:szCs w:val="22"/>
        </w:rPr>
        <w:t xml:space="preserve"> </w:t>
      </w:r>
      <w:r w:rsidR="003C0331" w:rsidRPr="00D85ABF">
        <w:rPr>
          <w:sz w:val="22"/>
          <w:szCs w:val="22"/>
        </w:rPr>
        <w:t>‘</w:t>
      </w:r>
      <w:r w:rsidR="00BF0980" w:rsidRPr="00D85ABF">
        <w:rPr>
          <w:sz w:val="22"/>
          <w:szCs w:val="22"/>
        </w:rPr>
        <w:t>c</w:t>
      </w:r>
      <w:r w:rsidR="00B9146B" w:rsidRPr="00D85ABF">
        <w:rPr>
          <w:sz w:val="22"/>
          <w:szCs w:val="22"/>
        </w:rPr>
        <w:t>o</w:t>
      </w:r>
      <w:r w:rsidRPr="00D85ABF">
        <w:rPr>
          <w:sz w:val="22"/>
          <w:szCs w:val="22"/>
        </w:rPr>
        <w:t>ordinator</w:t>
      </w:r>
      <w:r w:rsidR="003C0331" w:rsidRPr="00D85ABF">
        <w:rPr>
          <w:sz w:val="22"/>
          <w:szCs w:val="22"/>
        </w:rPr>
        <w:t>’</w:t>
      </w:r>
    </w:p>
    <w:p w14:paraId="33778CD9" w14:textId="0397D721"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0C6323E5" w14:textId="77777777"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14:paraId="5264D178" w14:textId="4768EEEF"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D85ABF">
        <w:rPr>
          <w:sz w:val="22"/>
          <w:szCs w:val="22"/>
        </w:rPr>
        <w:t>and</w:t>
      </w:r>
      <w:r w:rsidR="00360390" w:rsidRPr="00764A85">
        <w:rPr>
          <w:sz w:val="22"/>
          <w:szCs w:val="22"/>
        </w:rPr>
        <w:t xml:space="preserve"> </w:t>
      </w:r>
    </w:p>
    <w:p w14:paraId="00C4DB2A"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14:paraId="1B188352"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1672A8F3"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14:paraId="47C82E2F" w14:textId="77777777"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65A0903C" w14:textId="77777777"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5BCA3725" w14:textId="6751CDDA"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D85ABF">
        <w:rPr>
          <w:sz w:val="22"/>
          <w:szCs w:val="22"/>
        </w:rPr>
        <w:t>who have conferred powers of attorney for the purposes of the signature of the agreement t</w:t>
      </w:r>
      <w:r w:rsidR="00B9146B" w:rsidRPr="00D85ABF">
        <w:rPr>
          <w:sz w:val="22"/>
          <w:szCs w:val="22"/>
        </w:rPr>
        <w:t xml:space="preserve">o the </w:t>
      </w:r>
      <w:r w:rsidR="00BF0980" w:rsidRPr="00D85ABF">
        <w:rPr>
          <w:sz w:val="22"/>
          <w:szCs w:val="22"/>
        </w:rPr>
        <w:t>c</w:t>
      </w:r>
      <w:r w:rsidR="00B9146B" w:rsidRPr="00D85ABF">
        <w:rPr>
          <w:sz w:val="22"/>
          <w:szCs w:val="22"/>
        </w:rPr>
        <w:t>oo</w:t>
      </w:r>
      <w:r w:rsidRPr="00D85ABF">
        <w:rPr>
          <w:sz w:val="22"/>
          <w:szCs w:val="22"/>
        </w:rPr>
        <w:t>rdinator</w:t>
      </w:r>
      <w:r w:rsidR="00B67F8B" w:rsidRPr="00D85ABF">
        <w:rPr>
          <w:rStyle w:val="FootnoteReference"/>
          <w:sz w:val="22"/>
          <w:szCs w:val="22"/>
        </w:rPr>
        <w:footnoteReference w:id="1"/>
      </w:r>
      <w:r w:rsidRPr="00D85ABF">
        <w:rPr>
          <w:sz w:val="22"/>
          <w:szCs w:val="22"/>
        </w:rPr>
        <w:t xml:space="preserve">, collectively </w:t>
      </w:r>
      <w:r w:rsidR="00B9146B" w:rsidRPr="00D85ABF">
        <w:rPr>
          <w:sz w:val="22"/>
          <w:szCs w:val="22"/>
        </w:rPr>
        <w:t xml:space="preserve">referred to as </w:t>
      </w:r>
      <w:r w:rsidR="003C0331" w:rsidRPr="00D85ABF">
        <w:rPr>
          <w:sz w:val="22"/>
          <w:szCs w:val="22"/>
        </w:rPr>
        <w:t>‘b</w:t>
      </w:r>
      <w:r w:rsidR="00B9146B" w:rsidRPr="00D85ABF">
        <w:rPr>
          <w:sz w:val="22"/>
          <w:szCs w:val="22"/>
        </w:rPr>
        <w:t>eneficiary(ies)</w:t>
      </w:r>
      <w:r w:rsidR="003C0331" w:rsidRPr="00D85ABF">
        <w:rPr>
          <w:sz w:val="22"/>
          <w:szCs w:val="22"/>
        </w:rPr>
        <w:t>’</w:t>
      </w:r>
      <w:r w:rsidRPr="00D85ABF">
        <w:rPr>
          <w:sz w:val="22"/>
          <w:szCs w:val="22"/>
        </w:rPr>
        <w:t xml:space="preserve"> where a provision applie</w:t>
      </w:r>
      <w:r w:rsidR="00360390" w:rsidRPr="00D85ABF">
        <w:rPr>
          <w:sz w:val="22"/>
          <w:szCs w:val="22"/>
        </w:rPr>
        <w:t xml:space="preserve">s without distinction to the </w:t>
      </w:r>
      <w:r w:rsidR="00BF0980" w:rsidRPr="00D85ABF">
        <w:rPr>
          <w:sz w:val="22"/>
          <w:szCs w:val="22"/>
        </w:rPr>
        <w:t>c</w:t>
      </w:r>
      <w:r w:rsidR="00360390" w:rsidRPr="00D85ABF">
        <w:rPr>
          <w:sz w:val="22"/>
          <w:szCs w:val="22"/>
        </w:rPr>
        <w:t xml:space="preserve">oordinator and </w:t>
      </w:r>
      <w:r w:rsidR="006A0EBA" w:rsidRPr="00D85ABF">
        <w:rPr>
          <w:sz w:val="22"/>
          <w:szCs w:val="22"/>
        </w:rPr>
        <w:t>the co-</w:t>
      </w:r>
      <w:r w:rsidR="003C0331" w:rsidRPr="00D85ABF">
        <w:rPr>
          <w:sz w:val="22"/>
          <w:szCs w:val="22"/>
        </w:rPr>
        <w:t>b</w:t>
      </w:r>
      <w:r w:rsidR="006A0EBA" w:rsidRPr="00D85ABF">
        <w:rPr>
          <w:sz w:val="22"/>
          <w:szCs w:val="22"/>
        </w:rPr>
        <w:t>eneficiary(ies)</w:t>
      </w:r>
      <w:r w:rsidR="00B63EAC" w:rsidRPr="00B63EAC">
        <w:rPr>
          <w:sz w:val="22"/>
          <w:szCs w:val="22"/>
        </w:rPr>
        <w:t xml:space="preserve"> </w:t>
      </w:r>
    </w:p>
    <w:p w14:paraId="0A2533C3" w14:textId="77777777"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14:paraId="503F6527" w14:textId="77777777"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2B18748B" w14:textId="77777777" w:rsidR="00360390" w:rsidRPr="00764A85" w:rsidRDefault="00360390" w:rsidP="00532286">
      <w:pPr>
        <w:spacing w:before="120"/>
        <w:jc w:val="both"/>
        <w:rPr>
          <w:sz w:val="22"/>
        </w:rPr>
      </w:pPr>
    </w:p>
    <w:p w14:paraId="643BB722" w14:textId="77777777" w:rsidR="00C2718F" w:rsidRPr="00764A85" w:rsidRDefault="00C2718F" w:rsidP="00532286">
      <w:pPr>
        <w:spacing w:before="120"/>
        <w:jc w:val="both"/>
        <w:rPr>
          <w:sz w:val="22"/>
        </w:rPr>
      </w:pPr>
      <w:r w:rsidRPr="00764A85">
        <w:rPr>
          <w:sz w:val="22"/>
        </w:rPr>
        <w:t>have agreed as follows:</w:t>
      </w:r>
    </w:p>
    <w:p w14:paraId="61ED8DDC" w14:textId="77777777" w:rsidR="00360390" w:rsidRPr="00764A85" w:rsidRDefault="00360390" w:rsidP="00532286">
      <w:pPr>
        <w:spacing w:before="120"/>
        <w:jc w:val="both"/>
        <w:rPr>
          <w:sz w:val="22"/>
        </w:rPr>
      </w:pPr>
      <w:bookmarkStart w:id="0" w:name="_GoBack"/>
      <w:bookmarkEnd w:id="0"/>
    </w:p>
    <w:p w14:paraId="71680A15" w14:textId="77777777" w:rsidR="00C2718F" w:rsidRPr="00764A85" w:rsidRDefault="00C2718F" w:rsidP="00D40496">
      <w:pPr>
        <w:pageBreakBefore/>
        <w:spacing w:before="120" w:after="240"/>
        <w:jc w:val="center"/>
        <w:rPr>
          <w:b/>
          <w:sz w:val="28"/>
        </w:rPr>
      </w:pPr>
      <w:r w:rsidRPr="00764A85">
        <w:rPr>
          <w:b/>
          <w:sz w:val="28"/>
        </w:rPr>
        <w:lastRenderedPageBreak/>
        <w:t>Special conditions</w:t>
      </w:r>
    </w:p>
    <w:p w14:paraId="3F57CDAD" w14:textId="77777777"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14:paraId="267A3E0A" w14:textId="4B1025A2"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A56DEF" w:rsidRPr="00D85ABF">
        <w:rPr>
          <w:sz w:val="22"/>
        </w:rPr>
        <w:t xml:space="preserve">the implementation of </w:t>
      </w:r>
      <w:r w:rsidRPr="00D85ABF">
        <w:rPr>
          <w:sz w:val="22"/>
        </w:rPr>
        <w:t xml:space="preserve">the </w:t>
      </w:r>
      <w:r w:rsidR="00F21491" w:rsidRPr="00D85ABF">
        <w:rPr>
          <w:sz w:val="22"/>
        </w:rPr>
        <w:t>a</w:t>
      </w:r>
      <w:r w:rsidRPr="00D85ABF">
        <w:rPr>
          <w:sz w:val="22"/>
        </w:rPr>
        <w:t>ction entitled</w:t>
      </w:r>
      <w:r w:rsidRPr="00443E89">
        <w:rPr>
          <w:sz w:val="22"/>
        </w:rPr>
        <w:t>:</w:t>
      </w:r>
      <w:r w:rsidRPr="00FB0431">
        <w:rPr>
          <w:sz w:val="22"/>
        </w:rPr>
        <w:t xml:space="preserve"> </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Pr="00D85ABF">
        <w:rPr>
          <w:sz w:val="22"/>
        </w:rPr>
        <w:t xml:space="preserve"> (the </w:t>
      </w:r>
      <w:r w:rsidR="00B479BA" w:rsidRPr="00D85ABF">
        <w:rPr>
          <w:sz w:val="22"/>
        </w:rPr>
        <w:t>‘</w:t>
      </w:r>
      <w:r w:rsidR="00BF0980" w:rsidRPr="00D85ABF">
        <w:rPr>
          <w:sz w:val="22"/>
        </w:rPr>
        <w:t>a</w:t>
      </w:r>
      <w:r w:rsidRPr="00D85ABF">
        <w:rPr>
          <w:sz w:val="22"/>
        </w:rPr>
        <w:t>ction</w:t>
      </w:r>
      <w:r w:rsidR="00B479BA" w:rsidRPr="00D85ABF">
        <w:rPr>
          <w:sz w:val="22"/>
        </w:rPr>
        <w:t>’</w:t>
      </w:r>
      <w:r w:rsidRPr="00D85ABF">
        <w:rPr>
          <w:sz w:val="22"/>
        </w:rPr>
        <w:t>)</w:t>
      </w:r>
      <w:r w:rsidR="00615407" w:rsidRPr="00FB0431">
        <w:rPr>
          <w:sz w:val="22"/>
        </w:rPr>
        <w:t xml:space="preserve"> </w:t>
      </w:r>
      <w:r w:rsidR="002E60D5" w:rsidRPr="00764A85">
        <w:rPr>
          <w:sz w:val="22"/>
        </w:rPr>
        <w:t>described in Annex I</w:t>
      </w:r>
      <w:r w:rsidRPr="00764A85">
        <w:rPr>
          <w:sz w:val="22"/>
        </w:rPr>
        <w:t>.</w:t>
      </w:r>
    </w:p>
    <w:p w14:paraId="3AAAD775" w14:textId="77777777"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14:paraId="47186477" w14:textId="77777777"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0DD31595" w14:textId="77777777"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5EF9B44" w14:textId="77777777"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14:paraId="04246B01" w14:textId="09D8EC9D" w:rsidR="00C2718F" w:rsidRPr="00CA01A6"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w:t>
      </w:r>
      <w:r w:rsidRPr="00D85ABF">
        <w:rPr>
          <w:sz w:val="22"/>
        </w:rPr>
        <w:t xml:space="preserve">of the </w:t>
      </w:r>
      <w:r w:rsidR="00BF0980" w:rsidRPr="00D85ABF">
        <w:rPr>
          <w:sz w:val="22"/>
        </w:rPr>
        <w:t>a</w:t>
      </w:r>
      <w:r w:rsidRPr="00D85ABF">
        <w:rPr>
          <w:sz w:val="22"/>
        </w:rPr>
        <w:t>ction</w:t>
      </w:r>
      <w:r w:rsidR="00D85ABF" w:rsidRPr="00D85ABF">
        <w:rPr>
          <w:sz w:val="22"/>
        </w:rPr>
        <w:t xml:space="preserve"> </w:t>
      </w:r>
      <w:r w:rsidRPr="00D85ABF">
        <w:rPr>
          <w:sz w:val="22"/>
        </w:rPr>
        <w:t>shall begin</w:t>
      </w:r>
      <w:r w:rsidRPr="00764A85">
        <w:rPr>
          <w:sz w:val="22"/>
        </w:rPr>
        <w:t xml:space="preserve"> on:</w:t>
      </w:r>
    </w:p>
    <w:p w14:paraId="5045DA89" w14:textId="614864C7" w:rsidR="00C2718F" w:rsidRPr="00CA01A6" w:rsidRDefault="00C2718F" w:rsidP="00532286">
      <w:pPr>
        <w:widowControl w:val="0"/>
        <w:spacing w:before="120"/>
        <w:ind w:left="851" w:hanging="142"/>
        <w:rPr>
          <w:snapToGrid w:val="0"/>
          <w:sz w:val="22"/>
          <w:highlight w:val="lightGray"/>
        </w:rPr>
      </w:pPr>
      <w:r w:rsidRPr="00CA01A6">
        <w:rPr>
          <w:i/>
          <w:snapToGrid w:val="0"/>
          <w:sz w:val="22"/>
          <w:highlight w:val="lightGray"/>
        </w:rPr>
        <w:t>-</w:t>
      </w:r>
      <w:r w:rsidRPr="00CA01A6">
        <w:rPr>
          <w:snapToGrid w:val="0"/>
          <w:sz w:val="22"/>
          <w:highlight w:val="lightGray"/>
        </w:rPr>
        <w:tab/>
        <w:t xml:space="preserve">the day following that on which the </w:t>
      </w:r>
      <w:r w:rsidR="00F21491" w:rsidRPr="00CA01A6">
        <w:rPr>
          <w:snapToGrid w:val="0"/>
          <w:sz w:val="22"/>
          <w:highlight w:val="lightGray"/>
        </w:rPr>
        <w:t xml:space="preserve">second </w:t>
      </w:r>
      <w:r w:rsidRPr="00CA01A6">
        <w:rPr>
          <w:snapToGrid w:val="0"/>
          <w:sz w:val="22"/>
          <w:highlight w:val="lightGray"/>
        </w:rPr>
        <w:t xml:space="preserve">of the two </w:t>
      </w:r>
      <w:r w:rsidR="003C0331" w:rsidRPr="00CA01A6">
        <w:rPr>
          <w:snapToGrid w:val="0"/>
          <w:sz w:val="22"/>
          <w:highlight w:val="lightGray"/>
        </w:rPr>
        <w:t>p</w:t>
      </w:r>
      <w:r w:rsidRPr="00CA01A6">
        <w:rPr>
          <w:snapToGrid w:val="0"/>
          <w:sz w:val="22"/>
          <w:highlight w:val="lightGray"/>
        </w:rPr>
        <w:t>arties signs</w:t>
      </w:r>
    </w:p>
    <w:p w14:paraId="22DD9290" w14:textId="7A1920B8" w:rsidR="00FA57C7" w:rsidRPr="00CA01A6" w:rsidRDefault="00C2718F" w:rsidP="00532286">
      <w:pPr>
        <w:spacing w:before="120"/>
        <w:ind w:left="851" w:hanging="142"/>
        <w:jc w:val="both"/>
        <w:rPr>
          <w:snapToGrid w:val="0"/>
          <w:sz w:val="22"/>
          <w:highlight w:val="lightGray"/>
        </w:rPr>
      </w:pPr>
      <w:r w:rsidRPr="00CA01A6">
        <w:rPr>
          <w:snapToGrid w:val="0"/>
          <w:sz w:val="22"/>
          <w:highlight w:val="lightGray"/>
        </w:rPr>
        <w:t>-</w:t>
      </w:r>
      <w:r w:rsidRPr="00CA01A6">
        <w:rPr>
          <w:snapToGrid w:val="0"/>
          <w:sz w:val="22"/>
          <w:highlight w:val="lightGray"/>
        </w:rPr>
        <w:tab/>
        <w:t>the first day of the month following the date on which the first instalment of pre</w:t>
      </w:r>
      <w:r w:rsidR="00A55B1E" w:rsidRPr="00CA01A6">
        <w:rPr>
          <w:snapToGrid w:val="0"/>
          <w:sz w:val="22"/>
          <w:highlight w:val="lightGray"/>
        </w:rPr>
        <w:t>-</w:t>
      </w:r>
      <w:r w:rsidRPr="00CA01A6">
        <w:rPr>
          <w:snapToGrid w:val="0"/>
          <w:sz w:val="22"/>
          <w:highlight w:val="lightGray"/>
        </w:rPr>
        <w:t xml:space="preserve">financing is paid by the </w:t>
      </w:r>
      <w:r w:rsidR="00BF0980" w:rsidRPr="00CA01A6">
        <w:rPr>
          <w:snapToGrid w:val="0"/>
          <w:sz w:val="22"/>
          <w:highlight w:val="lightGray"/>
        </w:rPr>
        <w:t>c</w:t>
      </w:r>
      <w:r w:rsidRPr="00CA01A6">
        <w:rPr>
          <w:snapToGrid w:val="0"/>
          <w:sz w:val="22"/>
          <w:highlight w:val="lightGray"/>
        </w:rPr>
        <w:t xml:space="preserve">ontracting </w:t>
      </w:r>
      <w:r w:rsidR="00BF0980" w:rsidRPr="00CA01A6">
        <w:rPr>
          <w:snapToGrid w:val="0"/>
          <w:sz w:val="22"/>
          <w:highlight w:val="lightGray"/>
        </w:rPr>
        <w:t>a</w:t>
      </w:r>
      <w:r w:rsidRPr="00CA01A6">
        <w:rPr>
          <w:snapToGrid w:val="0"/>
          <w:sz w:val="22"/>
          <w:highlight w:val="lightGray"/>
        </w:rPr>
        <w:t>uthority</w:t>
      </w:r>
    </w:p>
    <w:p w14:paraId="294C5B28" w14:textId="4CEB7C1B" w:rsidR="00C2718F" w:rsidRPr="00041A83" w:rsidRDefault="00C2718F" w:rsidP="00532286">
      <w:pPr>
        <w:spacing w:before="120"/>
        <w:ind w:left="851" w:hanging="142"/>
        <w:jc w:val="both"/>
        <w:rPr>
          <w:snapToGrid w:val="0"/>
          <w:sz w:val="22"/>
          <w:highlight w:val="yellow"/>
        </w:rPr>
      </w:pPr>
      <w:r w:rsidRPr="00CA01A6">
        <w:rPr>
          <w:snapToGrid w:val="0"/>
          <w:sz w:val="22"/>
          <w:highlight w:val="lightGray"/>
        </w:rPr>
        <w:t>-</w:t>
      </w:r>
      <w:r w:rsidRPr="00CA01A6">
        <w:rPr>
          <w:snapToGrid w:val="0"/>
          <w:sz w:val="22"/>
          <w:highlight w:val="lightGray"/>
        </w:rPr>
        <w:tab/>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p>
    <w:p w14:paraId="4251CE0B" w14:textId="13CF8A0E"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BF0980" w:rsidRPr="00D85ABF">
        <w:rPr>
          <w:sz w:val="22"/>
        </w:rPr>
        <w:t>a</w:t>
      </w:r>
      <w:r w:rsidR="00615407" w:rsidRPr="00D85ABF">
        <w:rPr>
          <w:sz w:val="22"/>
        </w:rPr>
        <w:t>ction</w:t>
      </w:r>
      <w:r w:rsidR="00443E89" w:rsidRPr="00D85ABF">
        <w:rPr>
          <w:sz w:val="22"/>
        </w:rPr>
        <w:t>,</w:t>
      </w:r>
      <w:r w:rsidRPr="00D85ABF">
        <w:rPr>
          <w:sz w:val="22"/>
        </w:rPr>
        <w:t xml:space="preserve"> as laid down</w:t>
      </w:r>
      <w:r w:rsidRPr="00764A85">
        <w:rPr>
          <w:sz w:val="22"/>
        </w:rPr>
        <w:t xml:space="preserve">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3CDE63F8" w14:textId="77777777"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14:paraId="3AAE0293" w14:textId="77777777"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2"/>
      </w:r>
    </w:p>
    <w:p w14:paraId="2E103660" w14:textId="783EB2E4"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F21491" w:rsidRPr="00D85ABF">
        <w:rPr>
          <w:sz w:val="22"/>
        </w:rPr>
        <w:t>EUR</w:t>
      </w:r>
      <w:r w:rsidR="00AC1C04" w:rsidRPr="00764A85">
        <w:rPr>
          <w:sz w:val="22"/>
          <w:highlight w:val="yellow"/>
        </w:rPr>
        <w:t>&lt;amount,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14:paraId="3F02CEF3" w14:textId="507ECAD2"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F21491" w:rsidRPr="00D85ABF">
        <w:rPr>
          <w:sz w:val="22"/>
        </w:rPr>
        <w:t>EUR</w:t>
      </w:r>
      <w:r w:rsidR="00041A83">
        <w:rPr>
          <w:sz w:val="22"/>
        </w:rPr>
        <w:t xml:space="preserve"> &lt;</w:t>
      </w:r>
      <w:r w:rsidR="00041A83" w:rsidRPr="00F13D45">
        <w:rPr>
          <w:sz w:val="22"/>
          <w:highlight w:val="yellow"/>
        </w:rPr>
        <w:t>amount</w:t>
      </w:r>
      <w:r w:rsidR="00041A83">
        <w:rPr>
          <w:sz w:val="22"/>
        </w:rPr>
        <w:t>&gt;</w:t>
      </w:r>
      <w:r w:rsidR="007F2301" w:rsidRPr="00764A85">
        <w:rPr>
          <w:sz w:val="22"/>
        </w:rPr>
        <w:t xml:space="preserve">. </w:t>
      </w:r>
    </w:p>
    <w:p w14:paraId="69CA2474" w14:textId="3037A4B9"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BF0980" w:rsidRPr="00D85ABF">
        <w:rPr>
          <w:sz w:val="22"/>
        </w:rPr>
        <w:t>a</w:t>
      </w:r>
      <w:r w:rsidR="0045327B" w:rsidRPr="00D85ABF">
        <w:rPr>
          <w:sz w:val="22"/>
        </w:rPr>
        <w:t>ction</w:t>
      </w:r>
      <w:r w:rsidR="00846B5A" w:rsidRPr="00CA01A6">
        <w:rPr>
          <w:sz w:val="22"/>
          <w:highlight w:val="lightGray"/>
        </w:rPr>
        <w:t xml:space="preserve"> </w:t>
      </w:r>
      <w:r w:rsidR="009811B2" w:rsidRPr="00764A85">
        <w:rPr>
          <w:sz w:val="22"/>
        </w:rPr>
        <w:t>specified in paragraph 1</w:t>
      </w:r>
      <w:r w:rsidR="00121C26" w:rsidRPr="00764A85">
        <w:rPr>
          <w:sz w:val="22"/>
        </w:rPr>
        <w:t>.</w:t>
      </w:r>
    </w:p>
    <w:p w14:paraId="0AE570BA" w14:textId="77777777"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14:paraId="01646A2C" w14:textId="4EB3D6A7" w:rsidR="00CD0D3A" w:rsidRPr="00764A85" w:rsidRDefault="00C676C0" w:rsidP="00532286">
      <w:pPr>
        <w:spacing w:before="120"/>
        <w:ind w:left="567" w:hanging="567"/>
        <w:jc w:val="both"/>
        <w:rPr>
          <w:sz w:val="22"/>
        </w:rPr>
      </w:pPr>
      <w:r w:rsidRPr="00D85ABF">
        <w:rPr>
          <w:sz w:val="22"/>
        </w:rPr>
        <w:t>3.</w:t>
      </w:r>
      <w:r>
        <w:rPr>
          <w:sz w:val="22"/>
        </w:rPr>
        <w:t>3</w:t>
      </w:r>
      <w:r>
        <w:rPr>
          <w:sz w:val="22"/>
        </w:rPr>
        <w:tab/>
      </w:r>
      <w:r w:rsidR="00CD0D3A" w:rsidRPr="00D85ABF">
        <w:rPr>
          <w:sz w:val="22"/>
        </w:rPr>
        <w:t>Pursuant to Article 14.</w:t>
      </w:r>
      <w:r w:rsidR="007665B9" w:rsidRPr="00D85ABF">
        <w:rPr>
          <w:sz w:val="22"/>
        </w:rPr>
        <w:t>8</w:t>
      </w:r>
      <w:r w:rsidR="00CD0D3A" w:rsidRPr="00D85ABF">
        <w:rPr>
          <w:sz w:val="22"/>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D85ABF">
        <w:rPr>
          <w:sz w:val="22"/>
        </w:rPr>
        <w:t xml:space="preserve">&gt;% of the final </w:t>
      </w:r>
      <w:r w:rsidR="00272880" w:rsidRPr="00D85ABF">
        <w:rPr>
          <w:sz w:val="22"/>
        </w:rPr>
        <w:t>amount of direct eligible costs</w:t>
      </w:r>
      <w:r w:rsidR="00C81A9D" w:rsidRPr="00D85ABF">
        <w:rPr>
          <w:sz w:val="22"/>
        </w:rPr>
        <w:t xml:space="preserve"> </w:t>
      </w:r>
      <w:r w:rsidR="00CD0D3A" w:rsidRPr="00D85ABF">
        <w:rPr>
          <w:sz w:val="22"/>
        </w:rPr>
        <w:t xml:space="preserve">of the </w:t>
      </w:r>
      <w:r w:rsidR="00BF0980" w:rsidRPr="00D85ABF">
        <w:rPr>
          <w:sz w:val="22"/>
        </w:rPr>
        <w:t>a</w:t>
      </w:r>
      <w:r w:rsidR="00CD0D3A" w:rsidRPr="00D85ABF">
        <w:rPr>
          <w:sz w:val="22"/>
        </w:rPr>
        <w:t>ction established in accordance with Articles 14 and 17 of Annex II, may be claimed as indirect costs.</w:t>
      </w:r>
      <w:r w:rsidR="00F30DCF" w:rsidRPr="00443E89">
        <w:rPr>
          <w:sz w:val="22"/>
        </w:rPr>
        <w:t xml:space="preserve"> </w:t>
      </w:r>
    </w:p>
    <w:p w14:paraId="0449CC1E" w14:textId="77777777"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1E283BDF" w14:textId="027655A6"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D85ABF">
        <w:rPr>
          <w:sz w:val="22"/>
        </w:rPr>
        <w:t>option</w:t>
      </w:r>
      <w:r w:rsidR="00AB7BC6" w:rsidRPr="00D85ABF">
        <w:rPr>
          <w:sz w:val="22"/>
        </w:rPr>
        <w:t xml:space="preserve"> no. 2 as</w:t>
      </w:r>
      <w:r w:rsidR="00AB7BC6" w:rsidRPr="00764A85">
        <w:rPr>
          <w:sz w:val="22"/>
        </w:rPr>
        <w:t xml:space="preserve"> set out in Article 1</w:t>
      </w:r>
      <w:r w:rsidR="00952C27" w:rsidRPr="00764A85">
        <w:rPr>
          <w:sz w:val="22"/>
        </w:rPr>
        <w:t>5</w:t>
      </w:r>
      <w:r w:rsidR="00AB7BC6" w:rsidRPr="00764A85">
        <w:rPr>
          <w:sz w:val="22"/>
        </w:rPr>
        <w:t>.1</w:t>
      </w:r>
      <w:r w:rsidRPr="00764A85">
        <w:rPr>
          <w:sz w:val="22"/>
        </w:rPr>
        <w:t xml:space="preserve"> </w:t>
      </w:r>
    </w:p>
    <w:p w14:paraId="6D03EF03" w14:textId="54AA52DB"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B479BA" w:rsidRPr="00D85ABF">
        <w:rPr>
          <w:sz w:val="22"/>
        </w:rPr>
        <w:t>EUR</w:t>
      </w:r>
      <w:r w:rsidR="00041A83">
        <w:rPr>
          <w:sz w:val="22"/>
        </w:rPr>
        <w:t>&lt;</w:t>
      </w:r>
      <w:r w:rsidR="00041A83" w:rsidRPr="00F13D45">
        <w:rPr>
          <w:sz w:val="22"/>
          <w:highlight w:val="yellow"/>
        </w:rPr>
        <w:t>amount</w:t>
      </w:r>
      <w:r w:rsidR="00041A83">
        <w:rPr>
          <w:sz w:val="22"/>
        </w:rPr>
        <w:t>&gt;.</w:t>
      </w:r>
    </w:p>
    <w:p w14:paraId="0F00CFBC" w14:textId="54C66872"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sidRPr="00D85ABF">
        <w:rPr>
          <w:sz w:val="22"/>
        </w:rPr>
        <w:t>EUR</w:t>
      </w:r>
      <w:r w:rsidR="00041A83">
        <w:rPr>
          <w:sz w:val="22"/>
        </w:rPr>
        <w:t>&lt;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14:paraId="5D4DB3AF" w14:textId="77777777" w:rsidR="00051454" w:rsidRPr="00764A85" w:rsidRDefault="00AB7BC6" w:rsidP="00532286">
      <w:pPr>
        <w:pStyle w:val="Text1"/>
        <w:spacing w:before="120" w:after="0"/>
        <w:ind w:left="567"/>
        <w:jc w:val="both"/>
        <w:rPr>
          <w:sz w:val="22"/>
        </w:rPr>
      </w:pPr>
      <w:r w:rsidRPr="00764A85">
        <w:rPr>
          <w:sz w:val="22"/>
        </w:rPr>
        <w:t>Balance of the final amount of the grant:</w:t>
      </w:r>
    </w:p>
    <w:p w14:paraId="08F32B80" w14:textId="05875843"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D85ABF">
        <w:rPr>
          <w:sz w:val="22"/>
        </w:rPr>
        <w:t xml:space="preserve"> </w:t>
      </w:r>
      <w:r w:rsidR="00041A83" w:rsidRPr="00D85ABF">
        <w:rPr>
          <w:sz w:val="22"/>
        </w:rPr>
        <w:t>EUR</w:t>
      </w:r>
      <w:r w:rsidR="00041A83" w:rsidRPr="00F13D45">
        <w:rPr>
          <w:sz w:val="22"/>
        </w:rPr>
        <w:t xml:space="preserve"> </w:t>
      </w:r>
      <w:r w:rsidR="00041A83">
        <w:rPr>
          <w:sz w:val="22"/>
        </w:rPr>
        <w:t>&lt;</w:t>
      </w:r>
      <w:r w:rsidR="00041A83" w:rsidRPr="00E87244">
        <w:rPr>
          <w:sz w:val="22"/>
          <w:highlight w:val="yellow"/>
        </w:rPr>
        <w:t>amount</w:t>
      </w:r>
      <w:r w:rsidR="00130237">
        <w:rPr>
          <w:sz w:val="22"/>
        </w:rPr>
        <w:t>&gt;</w:t>
      </w:r>
    </w:p>
    <w:p w14:paraId="5F5763AF" w14:textId="77777777" w:rsidR="006F0546" w:rsidRDefault="006F0546" w:rsidP="00532286">
      <w:pPr>
        <w:pStyle w:val="Text1"/>
        <w:tabs>
          <w:tab w:val="left" w:pos="567"/>
        </w:tabs>
        <w:spacing w:before="120" w:after="0"/>
        <w:ind w:left="567" w:hanging="567"/>
        <w:jc w:val="both"/>
        <w:rPr>
          <w:sz w:val="22"/>
        </w:rPr>
      </w:pPr>
    </w:p>
    <w:p w14:paraId="1CE4FDFB" w14:textId="77777777" w:rsidR="00AC4A5B" w:rsidRPr="00AC4A5B" w:rsidRDefault="00AC4A5B" w:rsidP="00AC4A5B">
      <w:pPr>
        <w:pStyle w:val="Text1"/>
        <w:tabs>
          <w:tab w:val="left" w:pos="567"/>
        </w:tabs>
        <w:spacing w:before="120"/>
        <w:ind w:left="567" w:hanging="567"/>
        <w:jc w:val="both"/>
        <w:rPr>
          <w:sz w:val="22"/>
        </w:rPr>
      </w:pPr>
      <w:r w:rsidRPr="00AC4A5B">
        <w:rPr>
          <w:sz w:val="22"/>
        </w:rPr>
        <w:lastRenderedPageBreak/>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14:paraId="17F0353E" w14:textId="7D1E6625" w:rsidR="00AC4A5B"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14:paraId="1E48BFF4" w14:textId="3F3F76D0" w:rsidR="00443E89" w:rsidRPr="00D85ABF" w:rsidRDefault="00443E89" w:rsidP="00443E89">
      <w:pPr>
        <w:pStyle w:val="Text1"/>
        <w:tabs>
          <w:tab w:val="left" w:pos="567"/>
        </w:tabs>
        <w:spacing w:before="120" w:after="0"/>
        <w:ind w:left="567" w:hanging="567"/>
        <w:jc w:val="both"/>
        <w:rPr>
          <w:sz w:val="22"/>
          <w:szCs w:val="22"/>
        </w:rPr>
      </w:pPr>
      <w:r>
        <w:rPr>
          <w:sz w:val="22"/>
        </w:rPr>
        <w:t>4</w:t>
      </w:r>
      <w:r w:rsidRPr="00D85ABF">
        <w:rPr>
          <w:sz w:val="22"/>
        </w:rPr>
        <w:t>.3</w:t>
      </w:r>
      <w:r w:rsidRPr="00D85ABF">
        <w:rPr>
          <w:sz w:val="22"/>
        </w:rPr>
        <w:tab/>
      </w:r>
      <w:r w:rsidRPr="00D85ABF">
        <w:rPr>
          <w:sz w:val="22"/>
          <w:szCs w:val="22"/>
          <w:lang w:eastAsia="en-GB"/>
        </w:rPr>
        <w:t>In relation to Article 2 of Annex II, t</w:t>
      </w:r>
      <w:r w:rsidRPr="00D85ABF">
        <w:rPr>
          <w:sz w:val="22"/>
          <w:szCs w:val="22"/>
        </w:rPr>
        <w:t xml:space="preserve">he Beneficiaries shall submit reports on the achievement of indicators according to the following schedule: </w:t>
      </w:r>
    </w:p>
    <w:p w14:paraId="67F8AA69" w14:textId="77777777" w:rsidR="00443E89" w:rsidRPr="00D85ABF" w:rsidRDefault="00443E89" w:rsidP="00443E89">
      <w:pPr>
        <w:pStyle w:val="Text1"/>
        <w:numPr>
          <w:ilvl w:val="0"/>
          <w:numId w:val="18"/>
        </w:numPr>
        <w:tabs>
          <w:tab w:val="left" w:pos="567"/>
        </w:tabs>
        <w:spacing w:before="120" w:after="0"/>
        <w:jc w:val="both"/>
        <w:rPr>
          <w:sz w:val="22"/>
          <w:szCs w:val="22"/>
        </w:rPr>
      </w:pPr>
      <w:r w:rsidRPr="00D85ABF">
        <w:rPr>
          <w:sz w:val="22"/>
          <w:szCs w:val="22"/>
        </w:rPr>
        <w:t xml:space="preserve">31 March </w:t>
      </w:r>
    </w:p>
    <w:p w14:paraId="49AE75E1" w14:textId="77777777" w:rsidR="00443E89" w:rsidRPr="00D85ABF" w:rsidRDefault="00443E89" w:rsidP="00443E89">
      <w:pPr>
        <w:pStyle w:val="Text1"/>
        <w:numPr>
          <w:ilvl w:val="0"/>
          <w:numId w:val="18"/>
        </w:numPr>
        <w:tabs>
          <w:tab w:val="left" w:pos="567"/>
        </w:tabs>
        <w:spacing w:before="120" w:after="0"/>
        <w:jc w:val="both"/>
        <w:rPr>
          <w:sz w:val="22"/>
          <w:szCs w:val="22"/>
        </w:rPr>
      </w:pPr>
      <w:r w:rsidRPr="00D85ABF">
        <w:rPr>
          <w:sz w:val="22"/>
          <w:szCs w:val="22"/>
        </w:rPr>
        <w:t>30 June</w:t>
      </w:r>
    </w:p>
    <w:p w14:paraId="44ED1C9E" w14:textId="77777777" w:rsidR="00443E89" w:rsidRPr="00D85ABF" w:rsidRDefault="00443E89" w:rsidP="00443E89">
      <w:pPr>
        <w:pStyle w:val="Text1"/>
        <w:numPr>
          <w:ilvl w:val="0"/>
          <w:numId w:val="18"/>
        </w:numPr>
        <w:tabs>
          <w:tab w:val="left" w:pos="567"/>
        </w:tabs>
        <w:spacing w:before="120" w:after="0"/>
        <w:jc w:val="both"/>
        <w:rPr>
          <w:sz w:val="22"/>
          <w:szCs w:val="22"/>
        </w:rPr>
      </w:pPr>
      <w:r w:rsidRPr="00D85ABF">
        <w:rPr>
          <w:sz w:val="22"/>
          <w:szCs w:val="22"/>
        </w:rPr>
        <w:t>30 September</w:t>
      </w:r>
    </w:p>
    <w:p w14:paraId="576FB81B" w14:textId="77777777" w:rsidR="00443E89" w:rsidRPr="00D85ABF" w:rsidRDefault="00443E89" w:rsidP="00443E89">
      <w:pPr>
        <w:pStyle w:val="Text1"/>
        <w:numPr>
          <w:ilvl w:val="0"/>
          <w:numId w:val="18"/>
        </w:numPr>
        <w:tabs>
          <w:tab w:val="left" w:pos="567"/>
        </w:tabs>
        <w:spacing w:before="120" w:after="0"/>
        <w:jc w:val="both"/>
        <w:rPr>
          <w:sz w:val="22"/>
          <w:szCs w:val="22"/>
        </w:rPr>
      </w:pPr>
      <w:r w:rsidRPr="00D85ABF">
        <w:rPr>
          <w:sz w:val="22"/>
          <w:szCs w:val="22"/>
        </w:rPr>
        <w:t>31 December</w:t>
      </w:r>
    </w:p>
    <w:p w14:paraId="73F6D46C" w14:textId="77777777" w:rsidR="00443E89" w:rsidRPr="00F3210B" w:rsidRDefault="00443E89" w:rsidP="00443E89">
      <w:pPr>
        <w:pStyle w:val="Text1"/>
        <w:tabs>
          <w:tab w:val="left" w:pos="567"/>
        </w:tabs>
        <w:spacing w:before="120" w:after="0"/>
        <w:ind w:left="567" w:hanging="567"/>
        <w:jc w:val="both"/>
        <w:rPr>
          <w:sz w:val="22"/>
          <w:szCs w:val="22"/>
        </w:rPr>
      </w:pPr>
      <w:r w:rsidRPr="00D85ABF">
        <w:rPr>
          <w:sz w:val="22"/>
          <w:szCs w:val="22"/>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validation of the submitted data.</w:t>
      </w:r>
    </w:p>
    <w:p w14:paraId="79FAE565" w14:textId="7293B187" w:rsidR="00927262" w:rsidRPr="00927262" w:rsidRDefault="00927262" w:rsidP="006126B7">
      <w:pPr>
        <w:pStyle w:val="Text1"/>
        <w:spacing w:before="240" w:after="0"/>
        <w:ind w:hanging="567"/>
        <w:rPr>
          <w:sz w:val="22"/>
          <w:szCs w:val="22"/>
        </w:rPr>
      </w:pPr>
      <w:r>
        <w:rPr>
          <w:sz w:val="22"/>
          <w:szCs w:val="22"/>
        </w:rPr>
        <w:t xml:space="preserve">            </w:t>
      </w:r>
      <w:hyperlink r:id="rId11" w:history="1">
        <w:r w:rsidRPr="00927262">
          <w:rPr>
            <w:rStyle w:val="Hyperlink"/>
            <w:sz w:val="22"/>
            <w:szCs w:val="22"/>
          </w:rPr>
          <w:t>nikola.djonovic@jts-mne-alb-mne-kos.org</w:t>
        </w:r>
      </w:hyperlink>
    </w:p>
    <w:p w14:paraId="753741B2" w14:textId="77777777"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14:paraId="63E03004" w14:textId="77777777"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2A9EE817" w14:textId="77777777"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69F83804" w14:textId="043A83CB" w:rsidR="00443E89" w:rsidRDefault="00443E89" w:rsidP="00443E89">
      <w:pPr>
        <w:spacing w:before="120"/>
        <w:ind w:left="567"/>
        <w:jc w:val="both"/>
        <w:rPr>
          <w:sz w:val="22"/>
        </w:rPr>
      </w:pPr>
      <w:r>
        <w:rPr>
          <w:sz w:val="22"/>
        </w:rPr>
        <w:t xml:space="preserve">Ministry of Finance </w:t>
      </w:r>
    </w:p>
    <w:p w14:paraId="7289F327" w14:textId="77777777" w:rsidR="00443E89" w:rsidRDefault="00443E89" w:rsidP="00443E89">
      <w:pPr>
        <w:spacing w:before="120"/>
        <w:ind w:left="567"/>
        <w:jc w:val="both"/>
        <w:rPr>
          <w:sz w:val="22"/>
        </w:rPr>
      </w:pPr>
      <w:r>
        <w:rPr>
          <w:sz w:val="22"/>
        </w:rPr>
        <w:t>The Directorate for Finance and Contracting of the EU Assistance Funds,</w:t>
      </w:r>
    </w:p>
    <w:p w14:paraId="3142091E" w14:textId="77777777" w:rsidR="00443E89" w:rsidRDefault="00443E89" w:rsidP="00443E89">
      <w:pPr>
        <w:spacing w:before="120"/>
        <w:ind w:left="567"/>
        <w:jc w:val="both"/>
        <w:rPr>
          <w:sz w:val="22"/>
        </w:rPr>
      </w:pPr>
      <w:r>
        <w:rPr>
          <w:sz w:val="22"/>
        </w:rPr>
        <w:t>Stanka Dragojevića 2,</w:t>
      </w:r>
    </w:p>
    <w:p w14:paraId="4D6497BE" w14:textId="77777777" w:rsidR="00443E89" w:rsidRDefault="00443E89" w:rsidP="00443E89">
      <w:pPr>
        <w:spacing w:before="120"/>
        <w:ind w:left="567"/>
        <w:jc w:val="both"/>
        <w:rPr>
          <w:sz w:val="22"/>
        </w:rPr>
      </w:pPr>
      <w:r>
        <w:rPr>
          <w:sz w:val="22"/>
        </w:rPr>
        <w:t>81 000 Podgorica, Montenegro</w:t>
      </w:r>
    </w:p>
    <w:p w14:paraId="271E37AE" w14:textId="66D2F43A" w:rsidR="00443E89" w:rsidRDefault="00443E89" w:rsidP="00443E89">
      <w:pPr>
        <w:spacing w:before="120"/>
        <w:ind w:left="567"/>
        <w:jc w:val="both"/>
        <w:rPr>
          <w:b/>
          <w:sz w:val="22"/>
        </w:rPr>
      </w:pPr>
      <w:r w:rsidRPr="00AB6E50">
        <w:rPr>
          <w:b/>
          <w:sz w:val="22"/>
        </w:rPr>
        <w:t>Please note that opening hours of the Ministry of Finance</w:t>
      </w:r>
      <w:r w:rsidR="005008C8">
        <w:rPr>
          <w:b/>
          <w:sz w:val="22"/>
        </w:rPr>
        <w:t xml:space="preserve"> </w:t>
      </w:r>
      <w:r w:rsidRPr="00AB6E50">
        <w:rPr>
          <w:b/>
          <w:sz w:val="22"/>
        </w:rPr>
        <w:t xml:space="preserve">– The Directorate for Finance and Contracting of the EU Assistance Funds (CFCU) </w:t>
      </w:r>
      <w:r>
        <w:rPr>
          <w:b/>
          <w:sz w:val="22"/>
        </w:rPr>
        <w:t>are 7:00-15</w:t>
      </w:r>
      <w:r w:rsidRPr="00AB6E50">
        <w:rPr>
          <w:b/>
          <w:sz w:val="22"/>
        </w:rPr>
        <w:t>:00.</w:t>
      </w:r>
    </w:p>
    <w:p w14:paraId="7075F9E3" w14:textId="77777777" w:rsidR="00443E89" w:rsidRPr="00477479" w:rsidRDefault="00443E89" w:rsidP="00443E89">
      <w:pPr>
        <w:spacing w:before="120"/>
        <w:ind w:left="567"/>
        <w:jc w:val="both"/>
        <w:rPr>
          <w:sz w:val="22"/>
        </w:rPr>
      </w:pPr>
      <w:r w:rsidRPr="00477479">
        <w:rPr>
          <w:sz w:val="22"/>
        </w:rPr>
        <w:t>A copy of the reports referred to in Article 4.2 shall be sent to the concerned service of the European Commission, at the following address:</w:t>
      </w:r>
    </w:p>
    <w:p w14:paraId="79007C83" w14:textId="77777777" w:rsidR="00443E89" w:rsidRDefault="00443E89" w:rsidP="00443E89">
      <w:pPr>
        <w:spacing w:before="120"/>
        <w:ind w:left="567"/>
        <w:jc w:val="both"/>
        <w:rPr>
          <w:sz w:val="22"/>
        </w:rPr>
      </w:pPr>
      <w:r>
        <w:rPr>
          <w:sz w:val="22"/>
        </w:rPr>
        <w:t>Delegation of the European Union to Montenegro</w:t>
      </w:r>
    </w:p>
    <w:p w14:paraId="22B5A1F5" w14:textId="77777777" w:rsidR="00443E89" w:rsidRDefault="00443E89" w:rsidP="00443E89">
      <w:pPr>
        <w:spacing w:before="120"/>
        <w:ind w:left="567"/>
        <w:jc w:val="both"/>
        <w:rPr>
          <w:sz w:val="22"/>
        </w:rPr>
      </w:pPr>
      <w:r>
        <w:rPr>
          <w:sz w:val="22"/>
        </w:rPr>
        <w:t>Vuka Karadžića 12</w:t>
      </w:r>
    </w:p>
    <w:p w14:paraId="4D780A91" w14:textId="270E6D59" w:rsidR="00927262" w:rsidRPr="006126B7" w:rsidRDefault="00443E89" w:rsidP="006126B7">
      <w:pPr>
        <w:spacing w:before="120"/>
        <w:ind w:left="567"/>
        <w:jc w:val="both"/>
        <w:rPr>
          <w:sz w:val="22"/>
        </w:rPr>
      </w:pPr>
      <w:r>
        <w:rPr>
          <w:sz w:val="22"/>
        </w:rPr>
        <w:t>81000 Podgorica, Montenegro</w:t>
      </w:r>
    </w:p>
    <w:p w14:paraId="7DDC4F05" w14:textId="0E32C9E5"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07D06742" w14:textId="5ED7AF0C" w:rsidR="00886713"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14:paraId="1B2554D4" w14:textId="77777777" w:rsidR="00443E89" w:rsidRPr="000B54BF" w:rsidRDefault="00443E89" w:rsidP="00443E89">
      <w:pPr>
        <w:spacing w:before="120"/>
        <w:ind w:left="567"/>
        <w:jc w:val="both"/>
        <w:rPr>
          <w:sz w:val="22"/>
          <w:szCs w:val="22"/>
        </w:rPr>
      </w:pPr>
      <w:r w:rsidRPr="000B54BF">
        <w:rPr>
          <w:sz w:val="22"/>
          <w:szCs w:val="22"/>
        </w:rPr>
        <w:t>A copy of the reports referred to in Article 4.2 shall be sent to the following addresses:</w:t>
      </w:r>
    </w:p>
    <w:p w14:paraId="023411DA" w14:textId="77777777" w:rsidR="00443E89" w:rsidRPr="000B54BF" w:rsidRDefault="00443E89" w:rsidP="00443E89">
      <w:pPr>
        <w:spacing w:before="120"/>
        <w:ind w:left="567"/>
        <w:jc w:val="both"/>
        <w:rPr>
          <w:sz w:val="22"/>
          <w:szCs w:val="22"/>
        </w:rPr>
      </w:pPr>
      <w:r w:rsidRPr="000B54BF">
        <w:rPr>
          <w:sz w:val="22"/>
          <w:szCs w:val="22"/>
        </w:rPr>
        <w:t>Joint Technical Secretariat for Cross-border Cooperation Programmes Montenegro – Albania and  Montenegro – Kosovo 2014-2020</w:t>
      </w:r>
    </w:p>
    <w:p w14:paraId="229D7A97" w14:textId="77777777" w:rsidR="00443E89" w:rsidRPr="000B54BF" w:rsidRDefault="00443E89" w:rsidP="00443E89">
      <w:pPr>
        <w:spacing w:before="120"/>
        <w:ind w:left="567"/>
        <w:jc w:val="both"/>
        <w:rPr>
          <w:sz w:val="22"/>
          <w:szCs w:val="22"/>
        </w:rPr>
      </w:pPr>
      <w:r w:rsidRPr="000B54BF">
        <w:rPr>
          <w:sz w:val="22"/>
          <w:szCs w:val="22"/>
        </w:rPr>
        <w:t>Beogradska 17,</w:t>
      </w:r>
    </w:p>
    <w:p w14:paraId="0E74B4A6" w14:textId="77777777" w:rsidR="00443E89" w:rsidRPr="00D0166D" w:rsidRDefault="00443E89" w:rsidP="00443E89">
      <w:pPr>
        <w:spacing w:before="120"/>
        <w:ind w:left="567"/>
        <w:jc w:val="both"/>
        <w:rPr>
          <w:sz w:val="22"/>
          <w:szCs w:val="22"/>
        </w:rPr>
      </w:pPr>
      <w:r w:rsidRPr="000B54BF">
        <w:rPr>
          <w:sz w:val="22"/>
          <w:szCs w:val="22"/>
        </w:rPr>
        <w:lastRenderedPageBreak/>
        <w:t>81000 Podgorica, Montenegro</w:t>
      </w:r>
    </w:p>
    <w:p w14:paraId="2E42FADB" w14:textId="77777777" w:rsidR="00443E89" w:rsidRPr="00CC5F81" w:rsidRDefault="00443E89" w:rsidP="00443E89">
      <w:pPr>
        <w:spacing w:before="120"/>
        <w:ind w:left="567"/>
        <w:jc w:val="both"/>
        <w:rPr>
          <w:sz w:val="22"/>
          <w:szCs w:val="22"/>
        </w:rPr>
      </w:pPr>
      <w:r w:rsidRPr="00CC5F81">
        <w:rPr>
          <w:sz w:val="22"/>
          <w:szCs w:val="22"/>
        </w:rPr>
        <w:t>and</w:t>
      </w:r>
    </w:p>
    <w:p w14:paraId="5A9E6006" w14:textId="77777777" w:rsidR="00443E89" w:rsidRDefault="00443E89" w:rsidP="00443E89">
      <w:pPr>
        <w:spacing w:before="120"/>
        <w:ind w:left="567"/>
        <w:jc w:val="both"/>
        <w:rPr>
          <w:sz w:val="22"/>
          <w:szCs w:val="22"/>
        </w:rPr>
      </w:pPr>
      <w:r>
        <w:rPr>
          <w:sz w:val="22"/>
          <w:szCs w:val="22"/>
        </w:rPr>
        <w:t>Ministry of Finance and Economy</w:t>
      </w:r>
    </w:p>
    <w:p w14:paraId="08D6B66D" w14:textId="77777777" w:rsidR="00443E89" w:rsidRPr="00352065" w:rsidRDefault="00443E89" w:rsidP="00443E89">
      <w:pPr>
        <w:spacing w:before="120"/>
        <w:ind w:left="567"/>
        <w:jc w:val="both"/>
        <w:rPr>
          <w:sz w:val="22"/>
          <w:szCs w:val="22"/>
          <w:lang w:val="fr-BE"/>
        </w:rPr>
      </w:pPr>
      <w:r w:rsidRPr="00352065">
        <w:rPr>
          <w:sz w:val="22"/>
          <w:szCs w:val="22"/>
          <w:lang w:val="fr-BE"/>
        </w:rPr>
        <w:t>Bulevardi “Dëshmorët e Kombit”,</w:t>
      </w:r>
    </w:p>
    <w:p w14:paraId="30212AD2" w14:textId="77777777" w:rsidR="00443E89" w:rsidRPr="00352065" w:rsidRDefault="00443E89" w:rsidP="00443E89">
      <w:pPr>
        <w:spacing w:before="120"/>
        <w:ind w:left="567"/>
        <w:jc w:val="both"/>
        <w:rPr>
          <w:sz w:val="22"/>
          <w:szCs w:val="22"/>
          <w:lang w:val="fr-BE"/>
        </w:rPr>
      </w:pPr>
      <w:r w:rsidRPr="00352065">
        <w:rPr>
          <w:sz w:val="22"/>
          <w:szCs w:val="22"/>
          <w:lang w:val="fr-BE"/>
        </w:rPr>
        <w:t xml:space="preserve"> Nr.3, Tiranë, Albania</w:t>
      </w:r>
    </w:p>
    <w:p w14:paraId="13633DB2" w14:textId="77777777" w:rsidR="00691020" w:rsidRPr="00764A85" w:rsidRDefault="00691020" w:rsidP="00532286">
      <w:pPr>
        <w:spacing w:before="120"/>
        <w:ind w:left="567"/>
        <w:jc w:val="both"/>
        <w:rPr>
          <w:sz w:val="22"/>
        </w:rPr>
      </w:pPr>
    </w:p>
    <w:p w14:paraId="61160CF1" w14:textId="35EE5B5E" w:rsidR="00757FB8" w:rsidRPr="00764A85" w:rsidRDefault="00757FB8" w:rsidP="00D46EF8">
      <w:pPr>
        <w:spacing w:before="120"/>
        <w:ind w:left="567" w:hanging="567"/>
        <w:jc w:val="both"/>
        <w:rPr>
          <w:sz w:val="22"/>
        </w:rPr>
      </w:pPr>
      <w:r w:rsidRPr="00927262">
        <w:rPr>
          <w:sz w:val="22"/>
        </w:rPr>
        <w:t>5.2</w:t>
      </w:r>
      <w:r w:rsidRPr="00927262">
        <w:rPr>
          <w:sz w:val="22"/>
        </w:rPr>
        <w:tab/>
        <w:t xml:space="preserve">The </w:t>
      </w:r>
      <w:r w:rsidR="00886713" w:rsidRPr="00927262">
        <w:rPr>
          <w:sz w:val="22"/>
        </w:rPr>
        <w:t xml:space="preserve">expenditure </w:t>
      </w:r>
      <w:r w:rsidRPr="00927262">
        <w:rPr>
          <w:sz w:val="22"/>
        </w:rPr>
        <w:t xml:space="preserve">verification(s) referred to in Article </w:t>
      </w:r>
      <w:r w:rsidR="00A028CE" w:rsidRPr="00927262">
        <w:rPr>
          <w:sz w:val="22"/>
        </w:rPr>
        <w:t>15</w:t>
      </w:r>
      <w:r w:rsidR="00886713" w:rsidRPr="00927262">
        <w:rPr>
          <w:sz w:val="22"/>
        </w:rPr>
        <w:t>.7</w:t>
      </w:r>
      <w:r w:rsidRPr="00927262">
        <w:rPr>
          <w:sz w:val="22"/>
        </w:rPr>
        <w:t xml:space="preserve"> of Annex II will be carried out </w:t>
      </w:r>
      <w:r w:rsidRPr="00764A85">
        <w:rPr>
          <w:sz w:val="22"/>
          <w:highlight w:val="yellow"/>
        </w:rPr>
        <w:t xml:space="preserve">&lt; </w:t>
      </w:r>
      <w:r w:rsidRPr="00F13D45">
        <w:rPr>
          <w:sz w:val="22"/>
          <w:highlight w:val="yellow"/>
        </w:rPr>
        <w:t>name, address, telephone and fax numbers</w:t>
      </w:r>
      <w:r w:rsidRPr="00764A85">
        <w:rPr>
          <w:i/>
          <w:sz w:val="22"/>
          <w:highlight w:val="yellow"/>
        </w:rPr>
        <w:t>&gt;</w:t>
      </w:r>
      <w:r w:rsidRPr="00764A85">
        <w:rPr>
          <w:sz w:val="22"/>
          <w:highlight w:val="yellow"/>
        </w:rPr>
        <w:t>.</w:t>
      </w:r>
    </w:p>
    <w:p w14:paraId="36FA06A5" w14:textId="77777777"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14:paraId="30DDC441" w14:textId="77777777"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46BEC30F" w14:textId="77777777"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1F4E014D" w14:textId="77777777"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0E949B33" w14:textId="2DD865A3" w:rsidR="00C2718F" w:rsidRPr="00764A85" w:rsidRDefault="00C2718F" w:rsidP="00532286">
      <w:pPr>
        <w:spacing w:before="120"/>
        <w:ind w:left="1843" w:hanging="1276"/>
        <w:jc w:val="both"/>
      </w:pPr>
      <w:r w:rsidRPr="00764A85">
        <w:rPr>
          <w:sz w:val="22"/>
        </w:rPr>
        <w:t xml:space="preserve">Annex III: </w:t>
      </w:r>
      <w:r w:rsidRPr="00764A85">
        <w:rPr>
          <w:sz w:val="22"/>
        </w:rPr>
        <w:tab/>
      </w:r>
      <w:r w:rsidRPr="00927262">
        <w:rPr>
          <w:sz w:val="22"/>
        </w:rPr>
        <w:t xml:space="preserve">Budget for the </w:t>
      </w:r>
      <w:r w:rsidR="00BF0980" w:rsidRPr="00927262">
        <w:rPr>
          <w:sz w:val="22"/>
        </w:rPr>
        <w:t>a</w:t>
      </w:r>
      <w:r w:rsidRPr="00927262">
        <w:rPr>
          <w:sz w:val="22"/>
        </w:rPr>
        <w:t>ction</w:t>
      </w:r>
      <w:r w:rsidR="00121C26" w:rsidRPr="00927262">
        <w:rPr>
          <w:sz w:val="22"/>
        </w:rPr>
        <w:t xml:space="preserve"> (</w:t>
      </w:r>
      <w:r w:rsidR="00532286" w:rsidRPr="00927262">
        <w:rPr>
          <w:sz w:val="22"/>
        </w:rPr>
        <w:t>works</w:t>
      </w:r>
      <w:r w:rsidR="00121C26" w:rsidRPr="00927262">
        <w:rPr>
          <w:sz w:val="22"/>
        </w:rPr>
        <w:t>heets 1</w:t>
      </w:r>
      <w:r w:rsidR="003F7402" w:rsidRPr="00927262">
        <w:rPr>
          <w:sz w:val="22"/>
        </w:rPr>
        <w:t>,</w:t>
      </w:r>
      <w:r w:rsidR="00410B99" w:rsidRPr="00927262">
        <w:rPr>
          <w:sz w:val="22"/>
        </w:rPr>
        <w:t xml:space="preserve"> </w:t>
      </w:r>
      <w:r w:rsidR="003F7402" w:rsidRPr="00927262">
        <w:rPr>
          <w:sz w:val="22"/>
        </w:rPr>
        <w:t>2</w:t>
      </w:r>
      <w:r w:rsidR="00121C26" w:rsidRPr="00927262">
        <w:rPr>
          <w:sz w:val="22"/>
        </w:rPr>
        <w:t xml:space="preserve"> and 3)</w:t>
      </w:r>
    </w:p>
    <w:p w14:paraId="7612BE27" w14:textId="77777777"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14:paraId="4815DB13" w14:textId="77777777"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14:paraId="098239F4" w14:textId="44DC5DE3" w:rsidR="00C2718F" w:rsidRPr="00764A85" w:rsidRDefault="00C2718F" w:rsidP="00532286">
      <w:pPr>
        <w:spacing w:before="120"/>
        <w:ind w:left="1843" w:hanging="1276"/>
        <w:jc w:val="both"/>
      </w:pPr>
      <w:r w:rsidRPr="00764A85">
        <w:rPr>
          <w:sz w:val="22"/>
        </w:rPr>
        <w:t>Annex VI:</w:t>
      </w:r>
      <w:r w:rsidRPr="00764A85">
        <w:rPr>
          <w:sz w:val="22"/>
        </w:rPr>
        <w:tab/>
      </w:r>
      <w:r w:rsidRPr="00927262">
        <w:rPr>
          <w:sz w:val="22"/>
        </w:rPr>
        <w:t xml:space="preserve">Model </w:t>
      </w:r>
      <w:r w:rsidR="00A910C9" w:rsidRPr="00927262">
        <w:rPr>
          <w:sz w:val="22"/>
        </w:rPr>
        <w:t>narrative and financial report</w:t>
      </w:r>
    </w:p>
    <w:p w14:paraId="63F5F525" w14:textId="77777777" w:rsidR="00A910C9" w:rsidRPr="00CA01A6"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14:paraId="09AE5F3A" w14:textId="77777777" w:rsidR="002A3E52" w:rsidRPr="002A3E52" w:rsidRDefault="002A3E52" w:rsidP="00532286">
      <w:pPr>
        <w:spacing w:before="120"/>
        <w:ind w:left="1843" w:hanging="1276"/>
        <w:jc w:val="both"/>
      </w:pPr>
      <w:r>
        <w:rPr>
          <w:sz w:val="22"/>
        </w:rPr>
        <w:t>Annex IX: Standard template for transfer of asset ownership</w:t>
      </w:r>
    </w:p>
    <w:p w14:paraId="0187EE72" w14:textId="77777777" w:rsidR="00940AF1" w:rsidRPr="0094748D" w:rsidRDefault="00940AF1" w:rsidP="0094748D">
      <w:pPr>
        <w:spacing w:before="120" w:after="120"/>
        <w:ind w:left="1843" w:hanging="1276"/>
        <w:jc w:val="both"/>
        <w:rPr>
          <w:b/>
          <w:sz w:val="22"/>
        </w:rPr>
      </w:pPr>
    </w:p>
    <w:p w14:paraId="56D32BA2" w14:textId="77777777"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7E3DC3BC" w14:textId="693D980A" w:rsidR="001A1117" w:rsidRPr="00927262" w:rsidRDefault="00C2718F" w:rsidP="00764A85">
      <w:pPr>
        <w:spacing w:before="240"/>
        <w:jc w:val="both"/>
        <w:rPr>
          <w:b/>
        </w:rPr>
      </w:pPr>
      <w:r w:rsidRPr="00927262">
        <w:rPr>
          <w:b/>
        </w:rPr>
        <w:t xml:space="preserve">Article 7 </w:t>
      </w:r>
      <w:r w:rsidR="00B479BA" w:rsidRPr="00927262">
        <w:rPr>
          <w:b/>
        </w:rPr>
        <w:t>—</w:t>
      </w:r>
      <w:r w:rsidRPr="00927262">
        <w:rPr>
          <w:b/>
        </w:rPr>
        <w:t xml:space="preserve"> Other specific conditions applying to the </w:t>
      </w:r>
      <w:r w:rsidR="00BF0980" w:rsidRPr="00927262">
        <w:rPr>
          <w:b/>
        </w:rPr>
        <w:t>a</w:t>
      </w:r>
      <w:r w:rsidRPr="00927262">
        <w:rPr>
          <w:b/>
        </w:rPr>
        <w:t>ction</w:t>
      </w:r>
    </w:p>
    <w:p w14:paraId="4976DE3B" w14:textId="77777777" w:rsidR="00C2718F" w:rsidRPr="00927262" w:rsidRDefault="00C2718F" w:rsidP="00532286">
      <w:pPr>
        <w:spacing w:before="120"/>
        <w:ind w:left="567" w:hanging="567"/>
        <w:jc w:val="both"/>
        <w:rPr>
          <w:sz w:val="22"/>
        </w:rPr>
      </w:pPr>
      <w:r w:rsidRPr="00927262">
        <w:rPr>
          <w:sz w:val="22"/>
        </w:rPr>
        <w:t>7.1</w:t>
      </w:r>
      <w:r w:rsidRPr="00927262">
        <w:rPr>
          <w:sz w:val="22"/>
        </w:rPr>
        <w:tab/>
        <w:t xml:space="preserve">The </w:t>
      </w:r>
      <w:r w:rsidR="00BF0980" w:rsidRPr="00927262">
        <w:rPr>
          <w:sz w:val="22"/>
        </w:rPr>
        <w:t>g</w:t>
      </w:r>
      <w:r w:rsidRPr="00927262">
        <w:rPr>
          <w:sz w:val="22"/>
        </w:rPr>
        <w:t xml:space="preserve">eneral </w:t>
      </w:r>
      <w:r w:rsidR="00BF0980" w:rsidRPr="00927262">
        <w:rPr>
          <w:sz w:val="22"/>
        </w:rPr>
        <w:t>c</w:t>
      </w:r>
      <w:r w:rsidRPr="00927262">
        <w:rPr>
          <w:sz w:val="22"/>
        </w:rPr>
        <w:t xml:space="preserve">onditions </w:t>
      </w:r>
      <w:r w:rsidR="007B51F1" w:rsidRPr="00927262">
        <w:rPr>
          <w:sz w:val="22"/>
        </w:rPr>
        <w:t xml:space="preserve">in Annex II </w:t>
      </w:r>
      <w:r w:rsidRPr="00927262">
        <w:rPr>
          <w:sz w:val="22"/>
        </w:rPr>
        <w:t>are supplemented by the following:</w:t>
      </w:r>
    </w:p>
    <w:p w14:paraId="70385625" w14:textId="77777777"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14:paraId="3C4DCC0B" w14:textId="65479751" w:rsidR="0056522D" w:rsidRPr="00927262" w:rsidRDefault="00D46EF8" w:rsidP="00D46EF8">
      <w:pPr>
        <w:spacing w:before="120"/>
        <w:ind w:left="567" w:hanging="567"/>
        <w:jc w:val="both"/>
        <w:rPr>
          <w:sz w:val="22"/>
        </w:rPr>
      </w:pPr>
      <w:r w:rsidRPr="00927262">
        <w:rPr>
          <w:sz w:val="22"/>
        </w:rPr>
        <w:t>7.1.</w:t>
      </w:r>
      <w:r w:rsidR="00F32314" w:rsidRPr="00927262">
        <w:rPr>
          <w:sz w:val="22"/>
        </w:rPr>
        <w:t>1</w:t>
      </w:r>
      <w:r w:rsidRPr="00927262">
        <w:rPr>
          <w:sz w:val="22"/>
        </w:rPr>
        <w:tab/>
      </w:r>
      <w:r w:rsidR="0056522D" w:rsidRPr="00927262">
        <w:rPr>
          <w:sz w:val="22"/>
        </w:rPr>
        <w:t>For the purpose of this agreement, the following legal entities are considered as affiliated entities:</w:t>
      </w:r>
    </w:p>
    <w:p w14:paraId="0F998C8E" w14:textId="77777777" w:rsidR="0056522D" w:rsidRPr="00CA01A6" w:rsidRDefault="0056522D" w:rsidP="00D46EF8">
      <w:pPr>
        <w:spacing w:before="120"/>
        <w:ind w:left="851"/>
        <w:jc w:val="both"/>
        <w:rPr>
          <w:sz w:val="22"/>
          <w:highlight w:val="lightGray"/>
        </w:rPr>
      </w:pPr>
      <w:r w:rsidRPr="00927262">
        <w:rPr>
          <w:sz w:val="22"/>
        </w:rPr>
        <w:t xml:space="preserve">- </w:t>
      </w:r>
      <w:r w:rsidRPr="00764A85">
        <w:rPr>
          <w:sz w:val="22"/>
          <w:highlight w:val="yellow"/>
        </w:rPr>
        <w:t xml:space="preserve">&lt;name of the legal entity&gt;, </w:t>
      </w:r>
      <w:r w:rsidRPr="00927262">
        <w:rPr>
          <w:sz w:val="22"/>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927262">
        <w:rPr>
          <w:sz w:val="22"/>
        </w:rPr>
        <w:t>;</w:t>
      </w:r>
    </w:p>
    <w:p w14:paraId="10B1CCCD" w14:textId="77777777" w:rsidR="0056522D" w:rsidRPr="00CA01A6" w:rsidRDefault="0056522D" w:rsidP="00D46EF8">
      <w:pPr>
        <w:spacing w:before="120"/>
        <w:ind w:left="851"/>
        <w:jc w:val="both"/>
        <w:rPr>
          <w:sz w:val="22"/>
          <w:highlight w:val="lightGray"/>
        </w:rPr>
      </w:pPr>
      <w:r w:rsidRPr="00927262">
        <w:rPr>
          <w:sz w:val="22"/>
        </w:rPr>
        <w:t xml:space="preserve">-  </w:t>
      </w:r>
      <w:r w:rsidRPr="00764A85">
        <w:rPr>
          <w:sz w:val="22"/>
          <w:highlight w:val="yellow"/>
        </w:rPr>
        <w:t>&lt;name of the legal entity&gt;,</w:t>
      </w:r>
      <w:r w:rsidR="00707F09">
        <w:rPr>
          <w:sz w:val="22"/>
          <w:highlight w:val="yellow"/>
        </w:rPr>
        <w:t xml:space="preserve"> </w:t>
      </w:r>
      <w:r w:rsidRPr="00927262">
        <w:rPr>
          <w:sz w:val="22"/>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927262">
        <w:rPr>
          <w:sz w:val="22"/>
        </w:rPr>
        <w:t>;</w:t>
      </w:r>
    </w:p>
    <w:p w14:paraId="100A8435" w14:textId="77777777" w:rsidR="00237B31" w:rsidRPr="00927262" w:rsidRDefault="00237B31" w:rsidP="0094748D">
      <w:pPr>
        <w:spacing w:before="240"/>
        <w:ind w:left="567"/>
        <w:jc w:val="both"/>
        <w:rPr>
          <w:sz w:val="22"/>
        </w:rPr>
      </w:pPr>
      <w:r w:rsidRPr="00927262">
        <w:rPr>
          <w:sz w:val="22"/>
        </w:rPr>
        <w:t xml:space="preserve">Costs incurred by these affiliated entities may be accepted as eligible, provided the entities concerned abide by all the relevant rules applicable to the </w:t>
      </w:r>
      <w:r w:rsidR="003C0331" w:rsidRPr="00927262">
        <w:rPr>
          <w:sz w:val="22"/>
        </w:rPr>
        <w:t>b</w:t>
      </w:r>
      <w:r w:rsidRPr="00927262">
        <w:rPr>
          <w:sz w:val="22"/>
        </w:rPr>
        <w:t>eneficiary</w:t>
      </w:r>
      <w:r w:rsidR="00F74001" w:rsidRPr="00927262">
        <w:rPr>
          <w:sz w:val="22"/>
        </w:rPr>
        <w:t>(ies)</w:t>
      </w:r>
      <w:r w:rsidRPr="00927262">
        <w:rPr>
          <w:sz w:val="22"/>
        </w:rPr>
        <w:t xml:space="preserve"> under this </w:t>
      </w:r>
      <w:r w:rsidR="00BF0980" w:rsidRPr="00927262">
        <w:rPr>
          <w:sz w:val="22"/>
        </w:rPr>
        <w:t>c</w:t>
      </w:r>
      <w:r w:rsidRPr="00927262">
        <w:rPr>
          <w:sz w:val="22"/>
        </w:rPr>
        <w:t>ontract.</w:t>
      </w:r>
    </w:p>
    <w:p w14:paraId="58040322" w14:textId="0C1073F3" w:rsidR="00F967BB" w:rsidRPr="00927262" w:rsidRDefault="000F3CC9" w:rsidP="00D46EF8">
      <w:pPr>
        <w:spacing w:before="120"/>
        <w:ind w:left="567" w:hanging="567"/>
        <w:jc w:val="both"/>
        <w:rPr>
          <w:sz w:val="22"/>
        </w:rPr>
      </w:pPr>
      <w:r w:rsidRPr="00927262">
        <w:rPr>
          <w:sz w:val="22"/>
        </w:rPr>
        <w:t>7.1.</w:t>
      </w:r>
      <w:r w:rsidR="00F32314" w:rsidRPr="00927262">
        <w:rPr>
          <w:sz w:val="22"/>
        </w:rPr>
        <w:t>2</w:t>
      </w:r>
      <w:r w:rsidRPr="00927262">
        <w:rPr>
          <w:sz w:val="22"/>
        </w:rPr>
        <w:tab/>
      </w:r>
      <w:r w:rsidR="0024505E" w:rsidRPr="00927262">
        <w:rPr>
          <w:sz w:val="22"/>
        </w:rPr>
        <w:t>Financial support</w:t>
      </w:r>
      <w:r w:rsidR="001E0676" w:rsidRPr="00927262">
        <w:rPr>
          <w:sz w:val="22"/>
        </w:rPr>
        <w:t xml:space="preserve"> to third parties</w:t>
      </w:r>
      <w:r w:rsidR="00F967BB" w:rsidRPr="00927262">
        <w:rPr>
          <w:sz w:val="22"/>
        </w:rPr>
        <w:t xml:space="preserve"> may only be awarded in </w:t>
      </w:r>
      <w:r w:rsidR="0024505E" w:rsidRPr="00927262">
        <w:rPr>
          <w:sz w:val="22"/>
        </w:rPr>
        <w:t>compliance with the conditions set in</w:t>
      </w:r>
      <w:r w:rsidR="00546B41" w:rsidRPr="00927262">
        <w:rPr>
          <w:sz w:val="22"/>
        </w:rPr>
        <w:t xml:space="preserve"> </w:t>
      </w:r>
      <w:r w:rsidR="0024505E" w:rsidRPr="00927262">
        <w:rPr>
          <w:sz w:val="22"/>
        </w:rPr>
        <w:t xml:space="preserve"> </w:t>
      </w:r>
      <w:r w:rsidR="00546B41" w:rsidRPr="00927262">
        <w:rPr>
          <w:sz w:val="22"/>
          <w:szCs w:val="22"/>
        </w:rPr>
        <w:t xml:space="preserve">the guidelines for applicants </w:t>
      </w:r>
      <w:r w:rsidR="0024505E" w:rsidRPr="00927262">
        <w:rPr>
          <w:sz w:val="22"/>
        </w:rPr>
        <w:t xml:space="preserve">and in </w:t>
      </w:r>
      <w:r w:rsidR="00F967BB" w:rsidRPr="00927262">
        <w:rPr>
          <w:sz w:val="22"/>
        </w:rPr>
        <w:t xml:space="preserve">accordance with the criteria </w:t>
      </w:r>
      <w:r w:rsidR="0024505E" w:rsidRPr="00927262">
        <w:rPr>
          <w:sz w:val="22"/>
        </w:rPr>
        <w:t xml:space="preserve">and conditions </w:t>
      </w:r>
      <w:r w:rsidR="00F967BB" w:rsidRPr="00927262">
        <w:rPr>
          <w:sz w:val="22"/>
        </w:rPr>
        <w:t xml:space="preserve">laid down in the </w:t>
      </w:r>
      <w:r w:rsidR="003C0331" w:rsidRPr="00927262">
        <w:rPr>
          <w:sz w:val="22"/>
        </w:rPr>
        <w:t>d</w:t>
      </w:r>
      <w:r w:rsidR="00F967BB" w:rsidRPr="00927262">
        <w:rPr>
          <w:sz w:val="22"/>
        </w:rPr>
        <w:t xml:space="preserve">escription of the </w:t>
      </w:r>
      <w:r w:rsidR="00BF0980" w:rsidRPr="00927262">
        <w:rPr>
          <w:sz w:val="22"/>
        </w:rPr>
        <w:t>a</w:t>
      </w:r>
      <w:r w:rsidR="00F967BB" w:rsidRPr="00927262">
        <w:rPr>
          <w:sz w:val="22"/>
        </w:rPr>
        <w:t>ction in Annex I</w:t>
      </w:r>
      <w:r w:rsidRPr="00927262">
        <w:rPr>
          <w:sz w:val="22"/>
        </w:rPr>
        <w:t xml:space="preserve">. </w:t>
      </w:r>
    </w:p>
    <w:p w14:paraId="09CD8776" w14:textId="7B31D3DA" w:rsidR="00DA2B80" w:rsidRPr="00CA01A6" w:rsidRDefault="000F3CC9" w:rsidP="009C0AA0">
      <w:pPr>
        <w:spacing w:before="120"/>
        <w:ind w:left="567"/>
        <w:jc w:val="both"/>
        <w:rPr>
          <w:sz w:val="22"/>
          <w:highlight w:val="lightGray"/>
        </w:rPr>
      </w:pPr>
      <w:r w:rsidRPr="00927262">
        <w:rPr>
          <w:sz w:val="22"/>
        </w:rPr>
        <w:t>The maximum amount</w:t>
      </w:r>
      <w:r w:rsidR="00AB3569" w:rsidRPr="00927262">
        <w:rPr>
          <w:sz w:val="22"/>
        </w:rPr>
        <w:t xml:space="preserve"> of </w:t>
      </w:r>
      <w:r w:rsidR="0024505E" w:rsidRPr="00927262">
        <w:rPr>
          <w:sz w:val="22"/>
        </w:rPr>
        <w:t xml:space="preserve">financial support </w:t>
      </w:r>
      <w:r w:rsidRPr="00927262">
        <w:rPr>
          <w:sz w:val="22"/>
        </w:rPr>
        <w:t xml:space="preserve">per </w:t>
      </w:r>
      <w:r w:rsidR="0009787A" w:rsidRPr="00927262">
        <w:rPr>
          <w:sz w:val="22"/>
        </w:rPr>
        <w:t xml:space="preserve">each </w:t>
      </w:r>
      <w:r w:rsidR="008A5D01" w:rsidRPr="00927262">
        <w:rPr>
          <w:sz w:val="22"/>
        </w:rPr>
        <w:t>third party</w:t>
      </w:r>
      <w:r w:rsidRPr="00927262">
        <w:rPr>
          <w:sz w:val="22"/>
        </w:rPr>
        <w:t xml:space="preserve"> is </w:t>
      </w:r>
      <w:r w:rsidR="00AB3569" w:rsidRPr="00927262">
        <w:rPr>
          <w:sz w:val="22"/>
        </w:rPr>
        <w:t xml:space="preserve">limited to </w:t>
      </w:r>
      <w:r w:rsidRPr="00927262">
        <w:rPr>
          <w:sz w:val="22"/>
        </w:rPr>
        <w:t>EUR</w:t>
      </w:r>
      <w:r w:rsidR="009C0AA0">
        <w:rPr>
          <w:sz w:val="22"/>
        </w:rPr>
        <w:t xml:space="preserve"> </w:t>
      </w:r>
      <w:r w:rsidR="008A5D01" w:rsidRPr="00927262">
        <w:rPr>
          <w:sz w:val="22"/>
        </w:rPr>
        <w:t>60</w:t>
      </w:r>
      <w:r w:rsidR="003C0331" w:rsidRPr="00927262">
        <w:rPr>
          <w:sz w:val="22"/>
        </w:rPr>
        <w:t> </w:t>
      </w:r>
      <w:r w:rsidR="008A5D01" w:rsidRPr="00927262">
        <w:rPr>
          <w:sz w:val="22"/>
        </w:rPr>
        <w:t>000 or less</w:t>
      </w:r>
      <w:r w:rsidR="00F32314" w:rsidRPr="00927262">
        <w:rPr>
          <w:sz w:val="22"/>
        </w:rPr>
        <w:t>.</w:t>
      </w:r>
    </w:p>
    <w:p w14:paraId="2CD2628E" w14:textId="3FCFA81D" w:rsidR="00EC2CD3" w:rsidRPr="00927262" w:rsidRDefault="00EC2CD3" w:rsidP="00927262">
      <w:pPr>
        <w:spacing w:before="120"/>
        <w:ind w:left="567" w:hanging="567"/>
        <w:jc w:val="both"/>
        <w:rPr>
          <w:b/>
          <w:sz w:val="22"/>
        </w:rPr>
      </w:pPr>
      <w:r w:rsidRPr="00927262">
        <w:rPr>
          <w:sz w:val="22"/>
        </w:rPr>
        <w:t>7.1.</w:t>
      </w:r>
      <w:r w:rsidR="00F32314" w:rsidRPr="00927262">
        <w:rPr>
          <w:sz w:val="22"/>
        </w:rPr>
        <w:t>3</w:t>
      </w:r>
      <w:r w:rsidRPr="00927262">
        <w:rPr>
          <w:b/>
          <w:sz w:val="22"/>
        </w:rPr>
        <w:t xml:space="preserve"> </w:t>
      </w:r>
      <w:r w:rsidRPr="00927262">
        <w:rPr>
          <w:sz w:val="22"/>
        </w:rPr>
        <w:t xml:space="preserve">In the framework of financial support to third parties funds that are disbursed and  the subject of a formal legal commitment between the </w:t>
      </w:r>
      <w:r w:rsidR="00BF0980" w:rsidRPr="00927262">
        <w:rPr>
          <w:sz w:val="22"/>
        </w:rPr>
        <w:t>c</w:t>
      </w:r>
      <w:r w:rsidRPr="00927262">
        <w:rPr>
          <w:sz w:val="22"/>
        </w:rPr>
        <w:t>oordinator (or its co-beneficiaries</w:t>
      </w:r>
      <w:r w:rsidR="0086159E" w:rsidRPr="00927262">
        <w:rPr>
          <w:sz w:val="22"/>
        </w:rPr>
        <w:t xml:space="preserve"> and affiliated entities</w:t>
      </w:r>
      <w:r w:rsidRPr="00927262">
        <w:rPr>
          <w:sz w:val="22"/>
        </w:rPr>
        <w:t xml:space="preserve">) and a third party are taken into account when calculating the thresholds allowing the release of the further </w:t>
      </w:r>
      <w:r w:rsidRPr="00927262">
        <w:rPr>
          <w:sz w:val="22"/>
        </w:rPr>
        <w:lastRenderedPageBreak/>
        <w:t>prefinancing payment in accordance with conditions laid down by art 15</w:t>
      </w:r>
      <w:r w:rsidR="007665B9" w:rsidRPr="00927262">
        <w:rPr>
          <w:sz w:val="22"/>
        </w:rPr>
        <w:t>.1</w:t>
      </w:r>
      <w:r w:rsidRPr="00927262">
        <w:rPr>
          <w:sz w:val="22"/>
        </w:rPr>
        <w:t>, option 2, point (ii)</w:t>
      </w:r>
      <w:r w:rsidR="007665B9" w:rsidRPr="00927262">
        <w:rPr>
          <w:sz w:val="22"/>
        </w:rPr>
        <w:t xml:space="preserve"> of Annex II.</w:t>
      </w:r>
    </w:p>
    <w:p w14:paraId="54C22CF2" w14:textId="18D1349D" w:rsidR="00C46BA8" w:rsidRPr="00927262" w:rsidRDefault="0094748D" w:rsidP="0094748D">
      <w:pPr>
        <w:tabs>
          <w:tab w:val="left" w:pos="567"/>
        </w:tabs>
        <w:spacing w:before="120"/>
        <w:ind w:left="709" w:hanging="709"/>
        <w:jc w:val="both"/>
        <w:rPr>
          <w:sz w:val="22"/>
          <w:szCs w:val="22"/>
          <w:lang w:eastAsia="en-GB"/>
        </w:rPr>
      </w:pPr>
      <w:r w:rsidRPr="00927262">
        <w:rPr>
          <w:sz w:val="22"/>
        </w:rPr>
        <w:t>7.1.</w:t>
      </w:r>
      <w:r w:rsidR="00F32314" w:rsidRPr="00927262">
        <w:rPr>
          <w:sz w:val="22"/>
        </w:rPr>
        <w:t>4</w:t>
      </w:r>
      <w:r w:rsidR="00927262">
        <w:rPr>
          <w:sz w:val="22"/>
        </w:rPr>
        <w:t xml:space="preserve"> </w:t>
      </w:r>
      <w:r w:rsidR="00C46BA8" w:rsidRPr="00927262">
        <w:rPr>
          <w:sz w:val="22"/>
        </w:rPr>
        <w:t xml:space="preserve">VAT/ taxes, duties and charges </w:t>
      </w:r>
      <w:r w:rsidR="002A2FD5" w:rsidRPr="00927262">
        <w:rPr>
          <w:sz w:val="22"/>
        </w:rPr>
        <w:t xml:space="preserve">are </w:t>
      </w:r>
      <w:r w:rsidR="00C46BA8" w:rsidRPr="00927262">
        <w:rPr>
          <w:sz w:val="22"/>
          <w:szCs w:val="22"/>
          <w:lang w:eastAsia="en-GB"/>
        </w:rPr>
        <w:t>not eligible activities as described in Annex I.</w:t>
      </w:r>
    </w:p>
    <w:p w14:paraId="294E360F" w14:textId="22702277" w:rsidR="00FB44D9" w:rsidRPr="00224B37" w:rsidRDefault="00FB44D9" w:rsidP="00D25C52">
      <w:pPr>
        <w:tabs>
          <w:tab w:val="left" w:pos="567"/>
        </w:tabs>
        <w:spacing w:before="120"/>
        <w:ind w:left="709" w:hanging="709"/>
        <w:jc w:val="both"/>
        <w:rPr>
          <w:sz w:val="22"/>
        </w:rPr>
      </w:pPr>
      <w:r w:rsidRPr="00224B37">
        <w:rPr>
          <w:sz w:val="22"/>
        </w:rPr>
        <w:tab/>
      </w:r>
    </w:p>
    <w:p w14:paraId="211ADFE1" w14:textId="77777777" w:rsidR="00C2718F" w:rsidRPr="00927262" w:rsidRDefault="00C2718F" w:rsidP="00A65B30">
      <w:pPr>
        <w:tabs>
          <w:tab w:val="left" w:pos="567"/>
        </w:tabs>
        <w:spacing w:before="120"/>
        <w:ind w:left="709" w:hanging="709"/>
        <w:jc w:val="both"/>
        <w:rPr>
          <w:sz w:val="22"/>
        </w:rPr>
      </w:pPr>
      <w:r w:rsidRPr="00927262">
        <w:rPr>
          <w:sz w:val="22"/>
        </w:rPr>
        <w:t>7.2</w:t>
      </w:r>
      <w:r w:rsidRPr="00927262">
        <w:rPr>
          <w:sz w:val="22"/>
        </w:rPr>
        <w:tab/>
        <w:t xml:space="preserve">The following derogations from </w:t>
      </w:r>
      <w:r w:rsidR="007B51F1" w:rsidRPr="00927262">
        <w:rPr>
          <w:sz w:val="22"/>
        </w:rPr>
        <w:t>Annex II</w:t>
      </w:r>
      <w:r w:rsidRPr="00927262">
        <w:rPr>
          <w:sz w:val="22"/>
        </w:rPr>
        <w:t xml:space="preserve"> shall apply:</w:t>
      </w:r>
    </w:p>
    <w:p w14:paraId="0C00A965" w14:textId="6E500F3D" w:rsidR="00F32314" w:rsidRPr="00F32314" w:rsidRDefault="00F32314" w:rsidP="00F32314">
      <w:pPr>
        <w:tabs>
          <w:tab w:val="left" w:pos="567"/>
          <w:tab w:val="right" w:pos="5678"/>
        </w:tabs>
        <w:autoSpaceDE w:val="0"/>
        <w:autoSpaceDN w:val="0"/>
        <w:adjustRightInd w:val="0"/>
        <w:spacing w:before="120"/>
        <w:ind w:left="567" w:hanging="567"/>
        <w:jc w:val="both"/>
        <w:rPr>
          <w:sz w:val="22"/>
          <w:szCs w:val="22"/>
          <w:lang w:eastAsia="en-GB"/>
        </w:rPr>
      </w:pPr>
      <w:r w:rsidRPr="00F32314">
        <w:rPr>
          <w:sz w:val="22"/>
          <w:szCs w:val="22"/>
          <w:lang w:eastAsia="en-GB"/>
        </w:rPr>
        <w:t>7.2.1 By way of derogation from article 14.11 of Annex II, salary costs of the personnel of national administrations may be eligible to the extent that they relate to the costs of activities which the relevant public authority would not carry out if the action were not undertaken.</w:t>
      </w:r>
    </w:p>
    <w:p w14:paraId="48F75D8A" w14:textId="229B15C7" w:rsidR="00E7716F" w:rsidRDefault="00F32314" w:rsidP="00927262">
      <w:pPr>
        <w:tabs>
          <w:tab w:val="left" w:pos="-1440"/>
          <w:tab w:val="left" w:pos="-720"/>
        </w:tabs>
        <w:spacing w:before="120"/>
        <w:ind w:left="567" w:hanging="567"/>
        <w:jc w:val="both"/>
        <w:rPr>
          <w:sz w:val="22"/>
          <w:szCs w:val="22"/>
          <w:lang w:eastAsia="en-GB"/>
        </w:rPr>
      </w:pPr>
      <w:r w:rsidRPr="00F32314">
        <w:rPr>
          <w:sz w:val="22"/>
          <w:szCs w:val="22"/>
          <w:lang w:eastAsia="en-GB"/>
        </w:rPr>
        <w:t>7.2.2  By way of derogation from article 14.11 of Annex II,  purchases of land not built on and land built on in the amount up to 10 % of the total eligible expenditure for the operation concerned shall be eligible for funding if it is justified by the nature of the action and provided in the annual action programme, in which case ownership must be transferred in accordance with Article 7.5 of the general conditions of the standard grant contract, at the latest at the end of the action.</w:t>
      </w:r>
    </w:p>
    <w:p w14:paraId="329F3BE6" w14:textId="76D3C0C9" w:rsidR="001F7658" w:rsidRDefault="001F7658" w:rsidP="00927262">
      <w:pPr>
        <w:tabs>
          <w:tab w:val="left" w:pos="-1440"/>
          <w:tab w:val="left" w:pos="-720"/>
        </w:tabs>
        <w:spacing w:before="120"/>
        <w:ind w:left="567" w:hanging="567"/>
        <w:jc w:val="both"/>
        <w:rPr>
          <w:highlight w:val="yellow"/>
        </w:rPr>
      </w:pPr>
      <w:r w:rsidRPr="00224B37">
        <w:rPr>
          <w:sz w:val="22"/>
        </w:rPr>
        <w:t>7.</w:t>
      </w:r>
      <w:r>
        <w:rPr>
          <w:sz w:val="22"/>
        </w:rPr>
        <w:t>2</w:t>
      </w:r>
      <w:r w:rsidRPr="00224B37">
        <w:rPr>
          <w:sz w:val="22"/>
        </w:rPr>
        <w:t>.</w:t>
      </w:r>
      <w:r>
        <w:rPr>
          <w:sz w:val="22"/>
        </w:rPr>
        <w:t>3</w:t>
      </w:r>
      <w:r w:rsidRPr="00224B37">
        <w:rPr>
          <w:sz w:val="22"/>
        </w:rPr>
        <w:tab/>
        <w:t xml:space="preserve">Where the implementation of the action requires the setting up or the use of a project office, the beneficiary(ies) may declare as direct eligible costs the portion of the operating costs of the project office described in the proposal which corresponds to the duration of the Action either based on costs actually incurred by the project office for the action or on the cost apportionment approach presented as part of the proposal.  </w:t>
      </w:r>
    </w:p>
    <w:p w14:paraId="3FB3BD68" w14:textId="30AA3BCF" w:rsidR="009A35BC" w:rsidRPr="00CA01A6" w:rsidRDefault="00B2275A" w:rsidP="001F7658">
      <w:pPr>
        <w:keepNext/>
        <w:keepLines/>
        <w:tabs>
          <w:tab w:val="left" w:pos="284"/>
        </w:tabs>
        <w:spacing w:before="240" w:after="120"/>
        <w:ind w:left="284" w:hanging="284"/>
        <w:jc w:val="both"/>
        <w:rPr>
          <w:sz w:val="22"/>
          <w:szCs w:val="22"/>
          <w:highlight w:val="lightGray"/>
        </w:rPr>
      </w:pPr>
      <w:r w:rsidRPr="009A35BC">
        <w:rPr>
          <w:sz w:val="22"/>
          <w:szCs w:val="22"/>
          <w:lang w:eastAsia="en-GB"/>
        </w:rPr>
        <w:t xml:space="preserve">7.3 </w:t>
      </w:r>
      <w:r w:rsidR="009A35BC" w:rsidRPr="001F7658">
        <w:rPr>
          <w:sz w:val="22"/>
          <w:szCs w:val="22"/>
        </w:rPr>
        <w:t>For the purpose of</w:t>
      </w:r>
      <w:r w:rsidR="009A35BC" w:rsidRPr="001F7658">
        <w:t xml:space="preserve"> </w:t>
      </w:r>
      <w:r w:rsidR="009A35BC" w:rsidRPr="001F7658">
        <w:rPr>
          <w:sz w:val="22"/>
          <w:szCs w:val="22"/>
        </w:rPr>
        <w:t>Article 1.3 and 1.4 of the general conditions, for the part</w:t>
      </w:r>
      <w:r w:rsidR="001F7658">
        <w:rPr>
          <w:sz w:val="22"/>
          <w:szCs w:val="22"/>
        </w:rPr>
        <w:t xml:space="preserve"> of the data transferred by the </w:t>
      </w:r>
      <w:r w:rsidR="009A35BC" w:rsidRPr="001F7658">
        <w:rPr>
          <w:sz w:val="22"/>
          <w:szCs w:val="22"/>
        </w:rPr>
        <w:t>contracting authority to the European Commission the controller for the processing of personal data carried out within the Commission is</w:t>
      </w:r>
      <w:r w:rsidR="00136D60" w:rsidRPr="00136D60">
        <w:t xml:space="preserve"> </w:t>
      </w:r>
      <w:r w:rsidR="00136D60" w:rsidRPr="00136D60">
        <w:rPr>
          <w:sz w:val="22"/>
          <w:szCs w:val="22"/>
        </w:rPr>
        <w:t>the head of contracts and finance unit R4 of DG Neighbourhood and Enlargement Negotiations.</w:t>
      </w:r>
    </w:p>
    <w:p w14:paraId="1F2A3556" w14:textId="77777777" w:rsidR="009A35BC" w:rsidRPr="008C6493" w:rsidRDefault="009A35BC" w:rsidP="009A35BC">
      <w:pPr>
        <w:rPr>
          <w:sz w:val="22"/>
          <w:szCs w:val="22"/>
          <w:highlight w:val="yellow"/>
        </w:rPr>
      </w:pPr>
    </w:p>
    <w:p w14:paraId="314CE8A7" w14:textId="28888E92" w:rsidR="009A35BC" w:rsidRPr="00136D60" w:rsidRDefault="009A35BC" w:rsidP="009A35BC">
      <w:pPr>
        <w:rPr>
          <w:sz w:val="22"/>
          <w:szCs w:val="22"/>
        </w:rPr>
      </w:pPr>
      <w:r w:rsidRPr="001F7658">
        <w:rPr>
          <w:sz w:val="22"/>
          <w:szCs w:val="22"/>
        </w:rPr>
        <w:t>7.3</w:t>
      </w:r>
      <w:r w:rsidR="00136D60" w:rsidRPr="001F7658">
        <w:rPr>
          <w:sz w:val="22"/>
          <w:szCs w:val="22"/>
        </w:rPr>
        <w:t>.1</w:t>
      </w:r>
      <w:r w:rsidRPr="001F7658">
        <w:rPr>
          <w:sz w:val="22"/>
          <w:szCs w:val="22"/>
        </w:rPr>
        <w:t xml:space="preserve">  Articles 1.3 and 1.4 of Annex II shall be replaced by the following</w:t>
      </w:r>
      <w:r w:rsidRPr="00136D60">
        <w:rPr>
          <w:sz w:val="22"/>
          <w:szCs w:val="22"/>
        </w:rPr>
        <w:t>:</w:t>
      </w:r>
    </w:p>
    <w:p w14:paraId="6E862249" w14:textId="6625C53A" w:rsidR="009A35BC" w:rsidRPr="001F7658" w:rsidRDefault="009A35BC" w:rsidP="009A35BC">
      <w:pPr>
        <w:jc w:val="both"/>
        <w:rPr>
          <w:sz w:val="22"/>
          <w:szCs w:val="22"/>
        </w:rPr>
      </w:pPr>
      <w:r w:rsidRPr="001F7658">
        <w:rPr>
          <w:sz w:val="22"/>
          <w:szCs w:val="22"/>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2ADE3FA2" w14:textId="77777777" w:rsidR="009A35BC" w:rsidRPr="001F7658" w:rsidRDefault="009A35BC" w:rsidP="009A35BC">
      <w:pPr>
        <w:jc w:val="both"/>
        <w:rPr>
          <w:sz w:val="22"/>
          <w:szCs w:val="22"/>
        </w:rPr>
      </w:pPr>
    </w:p>
    <w:p w14:paraId="2B3C0018" w14:textId="1E287036" w:rsidR="009A35BC" w:rsidRPr="008C6493" w:rsidRDefault="009A35BC" w:rsidP="009A35BC">
      <w:pPr>
        <w:jc w:val="both"/>
        <w:rPr>
          <w:sz w:val="22"/>
          <w:szCs w:val="22"/>
          <w:u w:val="single"/>
        </w:rPr>
      </w:pPr>
      <w:r w:rsidRPr="001F7658">
        <w:rPr>
          <w:sz w:val="22"/>
          <w:szCs w:val="22"/>
        </w:rPr>
        <w:t>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F7658">
        <w:rPr>
          <w:rStyle w:val="FootnoteReference"/>
          <w:sz w:val="22"/>
          <w:szCs w:val="22"/>
        </w:rPr>
        <w:footnoteReference w:id="3"/>
      </w:r>
      <w:r w:rsidRPr="001F7658">
        <w:rPr>
          <w:sz w:val="22"/>
          <w:szCs w:val="22"/>
        </w:rPr>
        <w:t xml:space="preserve"> and as detailed in the specific privacy statement published at ePRAG.</w:t>
      </w:r>
    </w:p>
    <w:p w14:paraId="1F884519" w14:textId="77777777" w:rsidR="00B2275A" w:rsidRDefault="00B2275A" w:rsidP="007205EA">
      <w:pPr>
        <w:tabs>
          <w:tab w:val="left" w:pos="-1440"/>
          <w:tab w:val="left" w:pos="-720"/>
        </w:tabs>
        <w:spacing w:before="120"/>
        <w:ind w:left="567" w:hanging="567"/>
        <w:jc w:val="both"/>
        <w:rPr>
          <w:sz w:val="22"/>
          <w:szCs w:val="22"/>
          <w:lang w:eastAsia="en-GB"/>
        </w:rPr>
      </w:pPr>
    </w:p>
    <w:p w14:paraId="3A47277E" w14:textId="759082D7" w:rsidR="00544550" w:rsidRPr="00764A85" w:rsidRDefault="00544550" w:rsidP="00290199">
      <w:pPr>
        <w:keepNext/>
        <w:spacing w:before="120" w:after="240"/>
        <w:jc w:val="both"/>
        <w:rPr>
          <w:sz w:val="22"/>
          <w:szCs w:val="22"/>
        </w:rPr>
      </w:pPr>
      <w:r w:rsidRPr="00764A85">
        <w:rPr>
          <w:sz w:val="22"/>
          <w:szCs w:val="22"/>
        </w:rPr>
        <w:lastRenderedPageBreak/>
        <w:t xml:space="preserve">Done in </w:t>
      </w:r>
      <w:r w:rsidRPr="001F7658">
        <w:rPr>
          <w:sz w:val="22"/>
          <w:szCs w:val="22"/>
        </w:rPr>
        <w:t xml:space="preserve">English in </w:t>
      </w:r>
      <w:r w:rsidR="00136D60" w:rsidRPr="001F7658">
        <w:rPr>
          <w:sz w:val="22"/>
          <w:szCs w:val="22"/>
        </w:rPr>
        <w:t>four</w:t>
      </w:r>
      <w:r w:rsidRPr="001F7658">
        <w:rPr>
          <w:sz w:val="22"/>
          <w:szCs w:val="22"/>
        </w:rPr>
        <w:t xml:space="preserve"> originals, </w:t>
      </w:r>
      <w:r w:rsidRPr="001F7658">
        <w:rPr>
          <w:i/>
          <w:sz w:val="22"/>
          <w:szCs w:val="22"/>
        </w:rPr>
        <w:t xml:space="preserve"> </w:t>
      </w:r>
      <w:r w:rsidRPr="001F7658">
        <w:rPr>
          <w:sz w:val="22"/>
          <w:szCs w:val="22"/>
        </w:rPr>
        <w:t xml:space="preserve">one original being for the </w:t>
      </w:r>
      <w:r w:rsidR="00BF0980" w:rsidRPr="001F7658">
        <w:rPr>
          <w:sz w:val="22"/>
          <w:szCs w:val="22"/>
        </w:rPr>
        <w:t>c</w:t>
      </w:r>
      <w:r w:rsidRPr="001F7658">
        <w:rPr>
          <w:sz w:val="22"/>
          <w:szCs w:val="22"/>
        </w:rPr>
        <w:t xml:space="preserve">ontracting </w:t>
      </w:r>
      <w:r w:rsidR="00BF0980" w:rsidRPr="001F7658">
        <w:rPr>
          <w:sz w:val="22"/>
          <w:szCs w:val="22"/>
        </w:rPr>
        <w:t>a</w:t>
      </w:r>
      <w:r w:rsidRPr="001F7658">
        <w:rPr>
          <w:sz w:val="22"/>
          <w:szCs w:val="22"/>
        </w:rPr>
        <w:t>uthority, one original being for the European Commission,</w:t>
      </w:r>
      <w:r w:rsidR="00136D60" w:rsidRPr="001F7658">
        <w:rPr>
          <w:sz w:val="22"/>
          <w:szCs w:val="22"/>
        </w:rPr>
        <w:t xml:space="preserve"> one original</w:t>
      </w:r>
      <w:r w:rsidR="00136D60" w:rsidRPr="002026E1">
        <w:rPr>
          <w:sz w:val="22"/>
          <w:szCs w:val="22"/>
        </w:rPr>
        <w:t xml:space="preserve"> being for the Joint</w:t>
      </w:r>
      <w:r w:rsidR="00136D60">
        <w:rPr>
          <w:sz w:val="22"/>
          <w:szCs w:val="22"/>
        </w:rPr>
        <w:t xml:space="preserve"> Technical </w:t>
      </w:r>
      <w:r w:rsidR="00136D60" w:rsidRPr="000B54BF">
        <w:rPr>
          <w:sz w:val="22"/>
          <w:szCs w:val="22"/>
        </w:rPr>
        <w:t>Secretariat for Cross-border Cooperation Programmes Montenegro – Albania an</w:t>
      </w:r>
      <w:r w:rsidR="00136D60">
        <w:rPr>
          <w:sz w:val="22"/>
          <w:szCs w:val="22"/>
        </w:rPr>
        <w:t>d  Montenegro – Kosovo 2014-2020</w:t>
      </w:r>
      <w:r w:rsidRPr="00764A85">
        <w:rPr>
          <w:sz w:val="22"/>
          <w:szCs w:val="22"/>
        </w:rPr>
        <w:t xml:space="preserve"> and one original being for the </w:t>
      </w:r>
      <w:r w:rsidR="003C0331">
        <w:rPr>
          <w:sz w:val="22"/>
          <w:szCs w:val="22"/>
        </w:rPr>
        <w:t>b</w:t>
      </w:r>
      <w:r w:rsidR="00360390" w:rsidRPr="00764A85">
        <w:rPr>
          <w:sz w:val="22"/>
          <w:szCs w:val="22"/>
        </w:rPr>
        <w:t>eneficiary(ies)</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68045871" w14:textId="77777777" w:rsidTr="00AC591B">
        <w:trPr>
          <w:jc w:val="center"/>
        </w:trPr>
        <w:tc>
          <w:tcPr>
            <w:tcW w:w="4643" w:type="dxa"/>
            <w:gridSpan w:val="2"/>
          </w:tcPr>
          <w:p w14:paraId="56C2D05C" w14:textId="77777777"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4"/>
            </w:r>
          </w:p>
        </w:tc>
        <w:tc>
          <w:tcPr>
            <w:tcW w:w="4643" w:type="dxa"/>
            <w:gridSpan w:val="2"/>
          </w:tcPr>
          <w:p w14:paraId="098FAD9F" w14:textId="77777777"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5D00AB35" w14:textId="77777777" w:rsidTr="00AC591B">
        <w:trPr>
          <w:jc w:val="center"/>
        </w:trPr>
        <w:tc>
          <w:tcPr>
            <w:tcW w:w="1384" w:type="dxa"/>
          </w:tcPr>
          <w:p w14:paraId="09C1E349" w14:textId="77777777" w:rsidR="009A0B27" w:rsidRPr="00764A85" w:rsidRDefault="009A0B27" w:rsidP="007205EA">
            <w:pPr>
              <w:pStyle w:val="BodyText"/>
              <w:spacing w:before="120" w:after="240"/>
              <w:rPr>
                <w:sz w:val="22"/>
              </w:rPr>
            </w:pPr>
            <w:r w:rsidRPr="00764A85">
              <w:rPr>
                <w:sz w:val="22"/>
              </w:rPr>
              <w:t>Name</w:t>
            </w:r>
          </w:p>
        </w:tc>
        <w:tc>
          <w:tcPr>
            <w:tcW w:w="3259" w:type="dxa"/>
          </w:tcPr>
          <w:p w14:paraId="6E392123" w14:textId="77777777" w:rsidR="009A0B27" w:rsidRPr="00764A85" w:rsidRDefault="009A0B27" w:rsidP="007205EA">
            <w:pPr>
              <w:pStyle w:val="BodyText"/>
              <w:spacing w:before="120" w:after="240"/>
              <w:rPr>
                <w:sz w:val="22"/>
              </w:rPr>
            </w:pPr>
          </w:p>
        </w:tc>
        <w:tc>
          <w:tcPr>
            <w:tcW w:w="2321" w:type="dxa"/>
          </w:tcPr>
          <w:p w14:paraId="20B92FB5" w14:textId="78A98B07" w:rsidR="009A0B27" w:rsidRPr="00764A85" w:rsidRDefault="009A0B27" w:rsidP="007205EA">
            <w:pPr>
              <w:pStyle w:val="BodyText"/>
              <w:spacing w:before="120" w:after="240"/>
              <w:rPr>
                <w:sz w:val="22"/>
              </w:rPr>
            </w:pPr>
            <w:r w:rsidRPr="00764A85">
              <w:rPr>
                <w:sz w:val="22"/>
              </w:rPr>
              <w:t>Name</w:t>
            </w:r>
            <w:r w:rsidR="00136D60">
              <w:rPr>
                <w:sz w:val="22"/>
              </w:rPr>
              <w:t xml:space="preserve"> </w:t>
            </w:r>
          </w:p>
        </w:tc>
        <w:tc>
          <w:tcPr>
            <w:tcW w:w="2322" w:type="dxa"/>
          </w:tcPr>
          <w:p w14:paraId="7B67ED1F" w14:textId="77777777" w:rsidR="009A0B27" w:rsidRPr="00764A85" w:rsidRDefault="009A0B27" w:rsidP="007205EA">
            <w:pPr>
              <w:pStyle w:val="BodyText"/>
              <w:spacing w:before="120" w:after="240"/>
              <w:rPr>
                <w:sz w:val="22"/>
              </w:rPr>
            </w:pPr>
          </w:p>
        </w:tc>
      </w:tr>
      <w:tr w:rsidR="009A0B27" w:rsidRPr="00764A85" w14:paraId="69F304BC" w14:textId="77777777" w:rsidTr="00AC591B">
        <w:trPr>
          <w:jc w:val="center"/>
        </w:trPr>
        <w:tc>
          <w:tcPr>
            <w:tcW w:w="1384" w:type="dxa"/>
          </w:tcPr>
          <w:p w14:paraId="7DB4EE49" w14:textId="77777777" w:rsidR="009A0B27" w:rsidRPr="00764A85" w:rsidRDefault="009A0B27" w:rsidP="007205EA">
            <w:pPr>
              <w:pStyle w:val="BodyText"/>
              <w:spacing w:before="120" w:after="240"/>
              <w:rPr>
                <w:sz w:val="22"/>
              </w:rPr>
            </w:pPr>
            <w:r w:rsidRPr="00764A85">
              <w:rPr>
                <w:sz w:val="22"/>
              </w:rPr>
              <w:t>Title</w:t>
            </w:r>
          </w:p>
        </w:tc>
        <w:tc>
          <w:tcPr>
            <w:tcW w:w="3259" w:type="dxa"/>
          </w:tcPr>
          <w:p w14:paraId="21266527" w14:textId="77777777" w:rsidR="009A0B27" w:rsidRPr="00764A85" w:rsidRDefault="009A0B27" w:rsidP="007205EA">
            <w:pPr>
              <w:pStyle w:val="BodyText"/>
              <w:spacing w:before="120" w:after="240"/>
              <w:rPr>
                <w:sz w:val="22"/>
              </w:rPr>
            </w:pPr>
          </w:p>
        </w:tc>
        <w:tc>
          <w:tcPr>
            <w:tcW w:w="2321" w:type="dxa"/>
          </w:tcPr>
          <w:p w14:paraId="59033BBE" w14:textId="77777777" w:rsidR="009A0B27" w:rsidRPr="00764A85" w:rsidRDefault="009A0B27" w:rsidP="007205EA">
            <w:pPr>
              <w:pStyle w:val="BodyText"/>
              <w:spacing w:before="120" w:after="240"/>
              <w:rPr>
                <w:sz w:val="22"/>
              </w:rPr>
            </w:pPr>
            <w:r w:rsidRPr="00764A85">
              <w:rPr>
                <w:sz w:val="22"/>
              </w:rPr>
              <w:t>Title</w:t>
            </w:r>
          </w:p>
        </w:tc>
        <w:tc>
          <w:tcPr>
            <w:tcW w:w="2322" w:type="dxa"/>
          </w:tcPr>
          <w:p w14:paraId="6C17D92A" w14:textId="77777777" w:rsidR="009A0B27" w:rsidRPr="00764A85" w:rsidRDefault="009A0B27" w:rsidP="007205EA">
            <w:pPr>
              <w:pStyle w:val="BodyText"/>
              <w:spacing w:before="120" w:after="240"/>
              <w:rPr>
                <w:sz w:val="22"/>
              </w:rPr>
            </w:pPr>
          </w:p>
        </w:tc>
      </w:tr>
      <w:tr w:rsidR="009A0B27" w:rsidRPr="00764A85" w14:paraId="684FCE3B" w14:textId="77777777" w:rsidTr="00AC591B">
        <w:trPr>
          <w:jc w:val="center"/>
        </w:trPr>
        <w:tc>
          <w:tcPr>
            <w:tcW w:w="1384" w:type="dxa"/>
          </w:tcPr>
          <w:p w14:paraId="2B099077" w14:textId="77777777" w:rsidR="009A0B27" w:rsidRPr="00764A85" w:rsidRDefault="009A0B27" w:rsidP="007205EA">
            <w:pPr>
              <w:pStyle w:val="BodyText"/>
              <w:spacing w:before="120" w:after="240"/>
              <w:rPr>
                <w:sz w:val="22"/>
              </w:rPr>
            </w:pPr>
            <w:r w:rsidRPr="00764A85">
              <w:rPr>
                <w:sz w:val="22"/>
              </w:rPr>
              <w:t>Signature</w:t>
            </w:r>
          </w:p>
        </w:tc>
        <w:tc>
          <w:tcPr>
            <w:tcW w:w="3259" w:type="dxa"/>
          </w:tcPr>
          <w:p w14:paraId="28F7FBD9" w14:textId="77777777" w:rsidR="009A0B27" w:rsidRPr="00764A85" w:rsidRDefault="009A0B27" w:rsidP="007205EA">
            <w:pPr>
              <w:pStyle w:val="BodyText"/>
              <w:spacing w:before="120" w:after="240"/>
              <w:rPr>
                <w:sz w:val="22"/>
              </w:rPr>
            </w:pPr>
          </w:p>
        </w:tc>
        <w:tc>
          <w:tcPr>
            <w:tcW w:w="2321" w:type="dxa"/>
          </w:tcPr>
          <w:p w14:paraId="4C858CC5" w14:textId="77777777" w:rsidR="009A0B27" w:rsidRPr="00764A85" w:rsidRDefault="009A0B27" w:rsidP="007205EA">
            <w:pPr>
              <w:pStyle w:val="BodyText"/>
              <w:spacing w:before="120" w:after="240"/>
              <w:rPr>
                <w:sz w:val="22"/>
              </w:rPr>
            </w:pPr>
            <w:r w:rsidRPr="00764A85">
              <w:rPr>
                <w:sz w:val="22"/>
              </w:rPr>
              <w:t>Signature</w:t>
            </w:r>
          </w:p>
        </w:tc>
        <w:tc>
          <w:tcPr>
            <w:tcW w:w="2322" w:type="dxa"/>
          </w:tcPr>
          <w:p w14:paraId="3A7652B5" w14:textId="77777777" w:rsidR="009A0B27" w:rsidRPr="00764A85" w:rsidRDefault="009A0B27" w:rsidP="007205EA">
            <w:pPr>
              <w:pStyle w:val="BodyText"/>
              <w:spacing w:before="120" w:after="240"/>
              <w:rPr>
                <w:sz w:val="22"/>
              </w:rPr>
            </w:pPr>
          </w:p>
        </w:tc>
      </w:tr>
      <w:tr w:rsidR="009A0B27" w:rsidRPr="00764A85" w14:paraId="34E0C570" w14:textId="77777777" w:rsidTr="00AC591B">
        <w:trPr>
          <w:jc w:val="center"/>
        </w:trPr>
        <w:tc>
          <w:tcPr>
            <w:tcW w:w="1384" w:type="dxa"/>
          </w:tcPr>
          <w:p w14:paraId="58A79D86" w14:textId="77777777" w:rsidR="009A0B27" w:rsidRPr="00764A85" w:rsidRDefault="009A0B27" w:rsidP="007205EA">
            <w:pPr>
              <w:pStyle w:val="BodyText"/>
              <w:spacing w:before="120" w:after="240"/>
              <w:rPr>
                <w:sz w:val="22"/>
              </w:rPr>
            </w:pPr>
            <w:r w:rsidRPr="00764A85">
              <w:rPr>
                <w:sz w:val="22"/>
              </w:rPr>
              <w:t>Date</w:t>
            </w:r>
          </w:p>
        </w:tc>
        <w:tc>
          <w:tcPr>
            <w:tcW w:w="3259" w:type="dxa"/>
          </w:tcPr>
          <w:p w14:paraId="315313B1" w14:textId="77777777" w:rsidR="009A0B27" w:rsidRPr="00764A85" w:rsidRDefault="009A0B27" w:rsidP="007205EA">
            <w:pPr>
              <w:pStyle w:val="BodyText"/>
              <w:spacing w:before="120" w:after="240"/>
              <w:rPr>
                <w:sz w:val="22"/>
              </w:rPr>
            </w:pPr>
          </w:p>
        </w:tc>
        <w:tc>
          <w:tcPr>
            <w:tcW w:w="2321" w:type="dxa"/>
          </w:tcPr>
          <w:p w14:paraId="5B274A5C" w14:textId="77777777" w:rsidR="009A0B27" w:rsidRPr="00764A85" w:rsidRDefault="009A0B27" w:rsidP="007205EA">
            <w:pPr>
              <w:pStyle w:val="BodyText"/>
              <w:spacing w:before="120" w:after="240"/>
              <w:rPr>
                <w:sz w:val="22"/>
              </w:rPr>
            </w:pPr>
            <w:r w:rsidRPr="00764A85">
              <w:rPr>
                <w:sz w:val="22"/>
              </w:rPr>
              <w:t>Date</w:t>
            </w:r>
          </w:p>
        </w:tc>
        <w:tc>
          <w:tcPr>
            <w:tcW w:w="2322" w:type="dxa"/>
          </w:tcPr>
          <w:p w14:paraId="0D5C9C31" w14:textId="77777777" w:rsidR="009A0B27" w:rsidRPr="00764A85" w:rsidRDefault="009A0B27" w:rsidP="007205EA">
            <w:pPr>
              <w:pStyle w:val="BodyText"/>
              <w:spacing w:before="120" w:after="240"/>
              <w:rPr>
                <w:sz w:val="22"/>
              </w:rPr>
            </w:pPr>
          </w:p>
        </w:tc>
      </w:tr>
    </w:tbl>
    <w:p w14:paraId="7600C9B2" w14:textId="2B8E8F9D" w:rsidR="009A0B27" w:rsidRPr="00CA01A6" w:rsidRDefault="009A0B27" w:rsidP="00532286">
      <w:pPr>
        <w:spacing w:before="120"/>
        <w:rPr>
          <w:highlight w:val="lightGray"/>
        </w:rPr>
      </w:pPr>
    </w:p>
    <w:sectPr w:rsidR="009A0B27" w:rsidRPr="00CA01A6" w:rsidSect="004A6955">
      <w:headerReference w:type="default" r:id="rId12"/>
      <w:footerReference w:type="defaul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6C944" w14:textId="77777777" w:rsidR="00CA01A6" w:rsidRPr="00B479BA" w:rsidRDefault="00CA01A6">
      <w:r w:rsidRPr="00B479BA">
        <w:separator/>
      </w:r>
    </w:p>
  </w:endnote>
  <w:endnote w:type="continuationSeparator" w:id="0">
    <w:p w14:paraId="007DAE62" w14:textId="77777777" w:rsidR="00CA01A6" w:rsidRPr="00B479BA" w:rsidRDefault="00CA01A6">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97A2" w14:textId="169FC4EF" w:rsidR="00186D43" w:rsidRPr="00B479BA" w:rsidRDefault="00A65793" w:rsidP="00764A85">
    <w:pPr>
      <w:pStyle w:val="Footer"/>
      <w:tabs>
        <w:tab w:val="clear" w:pos="4320"/>
        <w:tab w:val="clear" w:pos="8640"/>
        <w:tab w:val="right" w:pos="9356"/>
      </w:tabs>
      <w:rPr>
        <w:sz w:val="18"/>
        <w:szCs w:val="18"/>
      </w:rPr>
    </w:pPr>
    <w:r w:rsidRPr="00A65793">
      <w:rPr>
        <w:b/>
        <w:sz w:val="18"/>
        <w:szCs w:val="18"/>
      </w:rPr>
      <w:t>2021.1</w:t>
    </w:r>
    <w:r w:rsidR="00186D43" w:rsidRPr="00A65793">
      <w:rPr>
        <w:b/>
        <w:sz w:val="18"/>
        <w:szCs w:val="18"/>
      </w:rPr>
      <w:tab/>
    </w:r>
    <w:r w:rsidR="00186D43" w:rsidRPr="00B479BA">
      <w:rPr>
        <w:sz w:val="18"/>
        <w:szCs w:val="18"/>
      </w:rPr>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Pr>
        <w:noProof/>
        <w:sz w:val="18"/>
        <w:szCs w:val="18"/>
      </w:rPr>
      <w:t>6</w:t>
    </w:r>
    <w:r w:rsidR="00186D43" w:rsidRPr="00B479BA">
      <w:rPr>
        <w:sz w:val="18"/>
        <w:szCs w:val="18"/>
      </w:rPr>
      <w:fldChar w:fldCharType="end"/>
    </w:r>
  </w:p>
  <w:p w14:paraId="76C0FB03" w14:textId="3A3DA84B"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DB219F">
      <w:rPr>
        <w:noProof/>
        <w:sz w:val="18"/>
        <w:szCs w:val="18"/>
      </w:rPr>
      <w:t>8_Annex G_1_special conditions</w:t>
    </w:r>
    <w:r w:rsidRPr="00FE47EA">
      <w:rPr>
        <w:sz w:val="18"/>
        <w:szCs w:val="18"/>
      </w:rPr>
      <w:fldChar w:fldCharType="end"/>
    </w:r>
    <w:r w:rsidRPr="00B479BA">
      <w:rPr>
        <w:sz w:val="18"/>
        <w:szCs w:val="18"/>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5881B" w14:textId="77777777" w:rsidR="00CA01A6" w:rsidRPr="00B479BA" w:rsidRDefault="00CA01A6">
      <w:r w:rsidRPr="00B479BA">
        <w:separator/>
      </w:r>
    </w:p>
  </w:footnote>
  <w:footnote w:type="continuationSeparator" w:id="0">
    <w:p w14:paraId="66EBA72F" w14:textId="77777777" w:rsidR="00CA01A6" w:rsidRPr="00B479BA" w:rsidRDefault="00CA01A6">
      <w:r w:rsidRPr="00B479BA">
        <w:continuationSeparator/>
      </w:r>
    </w:p>
  </w:footnote>
  <w:footnote w:id="1">
    <w:p w14:paraId="7BC9A086" w14:textId="77777777"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14:paraId="2ED10A5B" w14:textId="77777777"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3">
    <w:p w14:paraId="3470E92F" w14:textId="77777777" w:rsidR="009A35BC" w:rsidRDefault="009A35BC" w:rsidP="00191C3D">
      <w:pPr>
        <w:pStyle w:val="FootnoteText"/>
        <w:jc w:val="both"/>
      </w:pPr>
      <w:r>
        <w:rPr>
          <w:rStyle w:val="FootnoteReference"/>
        </w:rPr>
        <w:footnoteRef/>
      </w:r>
      <w:r>
        <w:t xml:space="preserve"> OJ L 205 of 21.11.2018, p. 39.</w:t>
      </w:r>
    </w:p>
  </w:footnote>
  <w:footnote w:id="4">
    <w:p w14:paraId="6AAE7023" w14:textId="77777777"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76E2" w14:textId="77777777" w:rsidR="00186D43" w:rsidRPr="00B479BA" w:rsidRDefault="00186D43">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7FE2B29"/>
    <w:multiLevelType w:val="hybridMultilevel"/>
    <w:tmpl w:val="208C03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 w:numId="1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36D60"/>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1F7658"/>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4B37"/>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1E1F"/>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5E4"/>
    <w:rsid w:val="00387D61"/>
    <w:rsid w:val="00387FEB"/>
    <w:rsid w:val="00390112"/>
    <w:rsid w:val="00391491"/>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3E89"/>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08C8"/>
    <w:rsid w:val="00506CFC"/>
    <w:rsid w:val="0051075A"/>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09AA"/>
    <w:rsid w:val="005E1DF0"/>
    <w:rsid w:val="005E2F77"/>
    <w:rsid w:val="005E49AB"/>
    <w:rsid w:val="005E4EA0"/>
    <w:rsid w:val="005F2047"/>
    <w:rsid w:val="005F72C2"/>
    <w:rsid w:val="0060277A"/>
    <w:rsid w:val="00602CBD"/>
    <w:rsid w:val="006059DB"/>
    <w:rsid w:val="00610E94"/>
    <w:rsid w:val="006126B7"/>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20"/>
    <w:rsid w:val="00691077"/>
    <w:rsid w:val="00692B4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56F9"/>
    <w:rsid w:val="006E602D"/>
    <w:rsid w:val="006E6CAA"/>
    <w:rsid w:val="006F044C"/>
    <w:rsid w:val="006F0546"/>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26E6"/>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27262"/>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0AA0"/>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793"/>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225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01A6"/>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CF50DA"/>
    <w:rsid w:val="00D00573"/>
    <w:rsid w:val="00D02361"/>
    <w:rsid w:val="00D14EE9"/>
    <w:rsid w:val="00D2080C"/>
    <w:rsid w:val="00D25164"/>
    <w:rsid w:val="00D25C52"/>
    <w:rsid w:val="00D27FD2"/>
    <w:rsid w:val="00D333C2"/>
    <w:rsid w:val="00D351B2"/>
    <w:rsid w:val="00D358BC"/>
    <w:rsid w:val="00D40496"/>
    <w:rsid w:val="00D422A8"/>
    <w:rsid w:val="00D45CBE"/>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5ABF"/>
    <w:rsid w:val="00D869EB"/>
    <w:rsid w:val="00D86AEE"/>
    <w:rsid w:val="00D91715"/>
    <w:rsid w:val="00D91F18"/>
    <w:rsid w:val="00D927A2"/>
    <w:rsid w:val="00D92B0C"/>
    <w:rsid w:val="00DA0440"/>
    <w:rsid w:val="00DA2B80"/>
    <w:rsid w:val="00DA384A"/>
    <w:rsid w:val="00DA3E61"/>
    <w:rsid w:val="00DA7C9E"/>
    <w:rsid w:val="00DB06B2"/>
    <w:rsid w:val="00DB1B89"/>
    <w:rsid w:val="00DB219F"/>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2314"/>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641D9"/>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F14"/>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kola.djonovic@jts-mne-alb-mne-kos.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FE915-B2AB-479D-AFDE-7DE4341EE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FF23461E-0493-4785-A9D3-A11808972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1981</Words>
  <Characters>11298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Dragomir Markovic</cp:lastModifiedBy>
  <cp:revision>20</cp:revision>
  <cp:lastPrinted>2014-01-20T08:23:00Z</cp:lastPrinted>
  <dcterms:created xsi:type="dcterms:W3CDTF">2021-06-23T15:35:00Z</dcterms:created>
  <dcterms:modified xsi:type="dcterms:W3CDTF">2023-02-21T09:04:00Z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